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2A" w:rsidRDefault="00DC1E38" w:rsidP="00DC1E38">
      <w:pPr>
        <w:pStyle w:val="Heading1Centre"/>
      </w:pPr>
      <w:bookmarkStart w:id="0" w:name="DocsID"/>
      <w:bookmarkEnd w:id="0"/>
      <w:r>
        <w:t>Long-Form Notice</w:t>
      </w:r>
    </w:p>
    <w:p w:rsidR="00DC1E38" w:rsidRDefault="00DC1E38" w:rsidP="00DC1E38">
      <w:pPr>
        <w:pBdr>
          <w:top w:val="single" w:sz="4" w:space="1" w:color="auto"/>
          <w:left w:val="single" w:sz="4" w:space="4" w:color="auto"/>
          <w:bottom w:val="single" w:sz="4" w:space="0" w:color="auto"/>
          <w:right w:val="single" w:sz="4" w:space="4" w:color="auto"/>
        </w:pBdr>
        <w:tabs>
          <w:tab w:val="left" w:pos="2400"/>
        </w:tabs>
        <w:jc w:val="center"/>
        <w:rPr>
          <w:rFonts w:ascii="Arial Narrow" w:hAnsi="Arial Narrow"/>
          <w:b/>
          <w:i/>
          <w:sz w:val="20"/>
          <w:szCs w:val="20"/>
          <w:lang w:val="en-US"/>
        </w:rPr>
      </w:pPr>
      <w:r w:rsidRPr="003D111D">
        <w:rPr>
          <w:rFonts w:ascii="Arial Narrow" w:hAnsi="Arial Narrow"/>
          <w:b/>
          <w:i/>
          <w:sz w:val="20"/>
          <w:szCs w:val="20"/>
          <w:lang w:val="en-US"/>
        </w:rPr>
        <w:t>Court Authorized Notice of Conditional Approval of Fosamax/Fosavance Settlement and Certification of Bisphosponate Class Action</w:t>
      </w:r>
      <w:r>
        <w:rPr>
          <w:rFonts w:ascii="Arial Narrow" w:hAnsi="Arial Narrow"/>
          <w:b/>
          <w:i/>
          <w:sz w:val="20"/>
          <w:szCs w:val="20"/>
          <w:lang w:val="en-US"/>
        </w:rPr>
        <w:t xml:space="preserve"> for Settlement</w:t>
      </w:r>
    </w:p>
    <w:p w:rsidR="00DC1E38" w:rsidRPr="003D111D" w:rsidRDefault="00DC1E38" w:rsidP="00DC1E38">
      <w:pPr>
        <w:pBdr>
          <w:top w:val="single" w:sz="4" w:space="1" w:color="auto"/>
          <w:left w:val="single" w:sz="4" w:space="4" w:color="auto"/>
          <w:bottom w:val="single" w:sz="4" w:space="0" w:color="auto"/>
          <w:right w:val="single" w:sz="4" w:space="4" w:color="auto"/>
        </w:pBdr>
        <w:tabs>
          <w:tab w:val="left" w:pos="2400"/>
        </w:tabs>
        <w:jc w:val="center"/>
        <w:rPr>
          <w:rFonts w:ascii="Arial Narrow" w:hAnsi="Arial Narrow"/>
          <w:b/>
          <w:sz w:val="20"/>
          <w:szCs w:val="20"/>
          <w:lang w:val="en-US"/>
        </w:rPr>
      </w:pPr>
      <w:r w:rsidRPr="00983A46">
        <w:rPr>
          <w:rFonts w:ascii="Arial Narrow" w:hAnsi="Arial Narrow"/>
          <w:b/>
          <w:sz w:val="20"/>
          <w:szCs w:val="20"/>
          <w:lang w:val="en-US"/>
        </w:rPr>
        <w:t xml:space="preserve">Hearings </w:t>
      </w:r>
      <w:r>
        <w:rPr>
          <w:rFonts w:ascii="Arial Narrow" w:hAnsi="Arial Narrow"/>
          <w:b/>
          <w:sz w:val="20"/>
          <w:szCs w:val="20"/>
          <w:lang w:val="en-US"/>
        </w:rPr>
        <w:t xml:space="preserve">are </w:t>
      </w:r>
      <w:r w:rsidRPr="00983A46">
        <w:rPr>
          <w:rFonts w:ascii="Arial Narrow" w:hAnsi="Arial Narrow"/>
          <w:b/>
          <w:sz w:val="20"/>
          <w:szCs w:val="20"/>
          <w:lang w:val="en-US"/>
        </w:rPr>
        <w:t>to be held on dates specified hereinbelow.</w:t>
      </w:r>
      <w:r w:rsidRPr="003D111D">
        <w:rPr>
          <w:rFonts w:ascii="Arial Narrow" w:hAnsi="Arial Narrow"/>
          <w:b/>
          <w:i/>
          <w:sz w:val="20"/>
          <w:szCs w:val="20"/>
          <w:lang w:val="en-US"/>
        </w:rPr>
        <w:br/>
      </w:r>
      <w:r w:rsidRPr="003D111D">
        <w:rPr>
          <w:rFonts w:ascii="Arial Narrow" w:hAnsi="Arial Narrow"/>
          <w:b/>
          <w:sz w:val="20"/>
          <w:szCs w:val="20"/>
          <w:lang w:val="en-US"/>
        </w:rPr>
        <w:br/>
        <w:t>Read this notice carefully as it may affect your rights.</w:t>
      </w:r>
    </w:p>
    <w:p w:rsidR="00DC1E38" w:rsidRPr="003D111D" w:rsidRDefault="00DC1E38" w:rsidP="00DC1E38">
      <w:pPr>
        <w:jc w:val="center"/>
        <w:rPr>
          <w:lang w:val="en-US"/>
        </w:rPr>
      </w:pPr>
      <w:r w:rsidRPr="003D111D">
        <w:rPr>
          <w:rFonts w:ascii="Arial Narrow" w:hAnsi="Arial Narrow" w:cs="Arial"/>
          <w:b/>
          <w:sz w:val="20"/>
          <w:szCs w:val="20"/>
          <w:lang w:val="en-US"/>
        </w:rPr>
        <w:t>TO ALL PERSONS IN CANADA WHO USED BISPHOSPHONATE DRUGS AND THEIR FAMILIES</w:t>
      </w:r>
    </w:p>
    <w:p w:rsidR="00DC1E38" w:rsidRPr="003D111D" w:rsidRDefault="00DC1E38" w:rsidP="00DC1E38">
      <w:pPr>
        <w:spacing w:after="160"/>
        <w:rPr>
          <w:rFonts w:ascii="Arial Narrow" w:hAnsi="Arial Narrow"/>
          <w:sz w:val="18"/>
          <w:szCs w:val="18"/>
          <w:lang w:val="en-US"/>
        </w:rPr>
      </w:pPr>
      <w:r w:rsidRPr="003D111D">
        <w:rPr>
          <w:rFonts w:ascii="Arial Narrow" w:hAnsi="Arial Narrow"/>
          <w:sz w:val="18"/>
          <w:szCs w:val="18"/>
          <w:lang w:val="en-US"/>
        </w:rPr>
        <w:t xml:space="preserve">Class proceeding lawsuits have been initiated in several provinces in relation to the ingestion and/or purchase of bisphosphonate drugs, including Fosamax and Fosavance.  </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Fosamax is a prescription medication for the treatment and prevention of osteoporosis.  Fosavance is a prescription medication for the treatment of osteoporosis.  They are part of a more general class of drugs known as “bisphosphonates.”</w:t>
      </w:r>
    </w:p>
    <w:p w:rsidR="00DC1E38" w:rsidRPr="003D111D" w:rsidRDefault="00DC1E38" w:rsidP="00DC1E38">
      <w:pPr>
        <w:suppressAutoHyphens/>
        <w:spacing w:before="120" w:after="120"/>
        <w:rPr>
          <w:rFonts w:ascii="Arial Narrow" w:hAnsi="Arial Narrow"/>
          <w:sz w:val="18"/>
          <w:szCs w:val="18"/>
          <w:lang w:val="en-US"/>
        </w:rPr>
      </w:pPr>
      <w:r w:rsidRPr="003D111D">
        <w:rPr>
          <w:rFonts w:ascii="Arial Narrow" w:hAnsi="Arial Narrow" w:cs="Arial"/>
          <w:sz w:val="18"/>
          <w:szCs w:val="18"/>
          <w:lang w:val="en-US"/>
        </w:rPr>
        <w:t>This notice is directed to a</w:t>
      </w:r>
      <w:r w:rsidRPr="003D111D">
        <w:rPr>
          <w:rFonts w:ascii="Arial Narrow" w:hAnsi="Arial Narrow"/>
          <w:sz w:val="18"/>
          <w:szCs w:val="18"/>
          <w:lang w:val="en-US"/>
        </w:rPr>
        <w:t xml:space="preserve">ll persons in Canada who were prescribed, purchased or used any bisphosphonate drug, such as Fosamax or Fosavance (including their estates), before </w:t>
      </w:r>
      <w:r>
        <w:rPr>
          <w:rFonts w:ascii="Arial Narrow" w:hAnsi="Arial Narrow"/>
          <w:b/>
          <w:sz w:val="18"/>
          <w:szCs w:val="18"/>
          <w:lang w:val="en-US"/>
        </w:rPr>
        <w:t>October 6, 2015</w:t>
      </w:r>
      <w:r w:rsidRPr="003D111D">
        <w:rPr>
          <w:rFonts w:ascii="Arial Narrow" w:hAnsi="Arial Narrow"/>
          <w:sz w:val="18"/>
          <w:szCs w:val="18"/>
          <w:lang w:val="en-US"/>
        </w:rPr>
        <w:t xml:space="preserve"> as well as their family members.</w:t>
      </w:r>
    </w:p>
    <w:p w:rsidR="00DC1E38" w:rsidRPr="003D111D" w:rsidRDefault="00DC1E38" w:rsidP="00DC1E38">
      <w:pPr>
        <w:suppressAutoHyphens/>
        <w:spacing w:before="120" w:after="120"/>
        <w:rPr>
          <w:rFonts w:ascii="Arial Narrow" w:hAnsi="Arial Narrow"/>
          <w:sz w:val="18"/>
          <w:szCs w:val="18"/>
          <w:lang w:val="en-US"/>
        </w:rPr>
      </w:pPr>
      <w:r w:rsidRPr="003D111D">
        <w:rPr>
          <w:rFonts w:ascii="Arial Narrow" w:hAnsi="Arial Narrow"/>
          <w:sz w:val="18"/>
          <w:szCs w:val="18"/>
          <w:lang w:val="en-US"/>
        </w:rPr>
        <w:t>The Court of Queen’s Bench of Saskatchewan has certified, for settlement purposes, against the Merck Defendants, the following class:</w:t>
      </w:r>
    </w:p>
    <w:p w:rsidR="00DC1E38" w:rsidRPr="003D111D" w:rsidRDefault="00DC1E38" w:rsidP="00DC1E38">
      <w:pPr>
        <w:suppressAutoHyphens/>
        <w:spacing w:before="120" w:after="120"/>
        <w:ind w:left="720"/>
        <w:rPr>
          <w:rFonts w:ascii="Arial Narrow" w:hAnsi="Arial Narrow"/>
          <w:sz w:val="18"/>
          <w:szCs w:val="18"/>
          <w:lang w:val="en-US"/>
        </w:rPr>
      </w:pPr>
      <w:r w:rsidRPr="003D111D">
        <w:rPr>
          <w:rFonts w:ascii="Arial Narrow" w:hAnsi="Arial Narrow"/>
          <w:sz w:val="18"/>
          <w:szCs w:val="18"/>
          <w:lang w:val="en-US"/>
        </w:rPr>
        <w:t xml:space="preserve">(a) all persons in Canada who were prescribed, purchased or used any Bisphosphonate, such as Fosamax and/or Fosavance (including their estates), except the Excluded Persons and members of the Ontario Settlement Class and the Quebec Settlement Class; and </w:t>
      </w:r>
    </w:p>
    <w:p w:rsidR="00DC1E38" w:rsidRPr="003D111D" w:rsidRDefault="00DC1E38" w:rsidP="00DC1E38">
      <w:pPr>
        <w:suppressAutoHyphens/>
        <w:spacing w:before="120" w:after="120"/>
        <w:ind w:left="720"/>
        <w:rPr>
          <w:rFonts w:ascii="Arial Narrow" w:hAnsi="Arial Narrow"/>
          <w:sz w:val="18"/>
          <w:szCs w:val="18"/>
          <w:lang w:val="en-US"/>
        </w:rPr>
      </w:pPr>
      <w:r w:rsidRPr="003D111D">
        <w:rPr>
          <w:rFonts w:ascii="Arial Narrow" w:hAnsi="Arial Narrow"/>
          <w:sz w:val="18"/>
          <w:szCs w:val="18"/>
          <w:lang w:val="en-US"/>
        </w:rPr>
        <w:t>(b) all persons who by reason of his or her relationship to a member of the class described in paragraph (a) are entitled to make claims under any Derivative Claim Statute as a result of the death or personal injury of that class member.</w:t>
      </w:r>
    </w:p>
    <w:p w:rsidR="00DC1E38" w:rsidRPr="003D111D" w:rsidRDefault="00DC1E38" w:rsidP="00DC1E38">
      <w:pPr>
        <w:suppressAutoHyphens/>
        <w:spacing w:before="120" w:after="120"/>
        <w:rPr>
          <w:rFonts w:ascii="Arial Narrow" w:hAnsi="Arial Narrow"/>
          <w:sz w:val="18"/>
          <w:szCs w:val="18"/>
          <w:lang w:val="en-US"/>
        </w:rPr>
      </w:pPr>
      <w:r w:rsidRPr="003D111D">
        <w:rPr>
          <w:rFonts w:ascii="Arial Narrow" w:hAnsi="Arial Narrow"/>
          <w:sz w:val="18"/>
          <w:szCs w:val="18"/>
          <w:lang w:val="en-US"/>
        </w:rPr>
        <w:t>The Ontario Superior Court of Justice has certified, for settlement purposes, the following class:</w:t>
      </w:r>
    </w:p>
    <w:p w:rsidR="00DC1E38" w:rsidRPr="003D111D" w:rsidRDefault="00DC1E38" w:rsidP="00DC1E38">
      <w:pPr>
        <w:suppressAutoHyphens/>
        <w:spacing w:before="120" w:after="120"/>
        <w:ind w:left="720"/>
        <w:rPr>
          <w:rFonts w:ascii="Arial Narrow" w:hAnsi="Arial Narrow"/>
          <w:sz w:val="18"/>
          <w:szCs w:val="18"/>
          <w:lang w:val="en-US"/>
        </w:rPr>
      </w:pPr>
      <w:r w:rsidRPr="003D111D">
        <w:rPr>
          <w:rFonts w:ascii="Arial Narrow" w:hAnsi="Arial Narrow"/>
          <w:sz w:val="18"/>
          <w:szCs w:val="18"/>
          <w:lang w:val="en-US"/>
        </w:rPr>
        <w:t xml:space="preserve">(a) all persons in Canada (including their estates) other than residents of Saskatchewan or Quebec or Excluded Persons, who were prescribed and ingested </w:t>
      </w:r>
      <w:r>
        <w:rPr>
          <w:rFonts w:ascii="Arial Narrow" w:hAnsi="Arial Narrow"/>
          <w:sz w:val="18"/>
          <w:szCs w:val="18"/>
          <w:lang w:val="en-US"/>
        </w:rPr>
        <w:t>Fosamax and/or Fosavance</w:t>
      </w:r>
      <w:r w:rsidRPr="003D111D">
        <w:rPr>
          <w:rFonts w:ascii="Arial Narrow" w:hAnsi="Arial Narrow"/>
          <w:sz w:val="18"/>
          <w:szCs w:val="18"/>
          <w:lang w:val="en-US"/>
        </w:rPr>
        <w:t>; and</w:t>
      </w:r>
    </w:p>
    <w:p w:rsidR="00DC1E38" w:rsidRPr="003D111D" w:rsidRDefault="00DC1E38" w:rsidP="00DC1E38">
      <w:pPr>
        <w:suppressAutoHyphens/>
        <w:spacing w:before="120" w:after="120"/>
        <w:ind w:left="720"/>
        <w:rPr>
          <w:rFonts w:ascii="Arial Narrow" w:hAnsi="Arial Narrow"/>
          <w:sz w:val="18"/>
          <w:szCs w:val="18"/>
          <w:lang w:val="en-US"/>
        </w:rPr>
      </w:pPr>
      <w:r w:rsidRPr="003D111D">
        <w:rPr>
          <w:rFonts w:ascii="Arial Narrow" w:hAnsi="Arial Narrow"/>
          <w:sz w:val="18"/>
          <w:szCs w:val="18"/>
          <w:lang w:val="en-US"/>
        </w:rPr>
        <w:t>(b) all persons who by reason of his or her relationship to a member of the class described in paragraph (a) are entitled to make claims under any Derivative Claim Statute as a result of the death or personal injury of that class.</w:t>
      </w:r>
    </w:p>
    <w:p w:rsidR="00DC1E38" w:rsidRPr="003D111D" w:rsidRDefault="00DC1E38" w:rsidP="00DC1E38">
      <w:pPr>
        <w:suppressAutoHyphens/>
        <w:spacing w:before="120" w:after="120"/>
        <w:rPr>
          <w:rFonts w:ascii="Arial Narrow" w:hAnsi="Arial Narrow"/>
          <w:sz w:val="18"/>
          <w:szCs w:val="18"/>
          <w:lang w:val="en-US"/>
        </w:rPr>
      </w:pPr>
      <w:r w:rsidRPr="003D111D">
        <w:rPr>
          <w:rFonts w:ascii="Arial Narrow" w:hAnsi="Arial Narrow"/>
          <w:sz w:val="18"/>
          <w:szCs w:val="18"/>
          <w:lang w:val="en-US"/>
        </w:rPr>
        <w:t xml:space="preserve">The Québec Superior Court has certified, for settlement purposes, a class with the same definition as the Ontario class, for residents of Quebec. </w:t>
      </w:r>
    </w:p>
    <w:p w:rsidR="00DC1E38" w:rsidRPr="003D111D" w:rsidRDefault="00DC1E38" w:rsidP="00DC1E38">
      <w:pPr>
        <w:suppressAutoHyphens/>
        <w:spacing w:before="120" w:after="120"/>
        <w:rPr>
          <w:rFonts w:ascii="Arial Narrow" w:hAnsi="Arial Narrow" w:cs="Arial"/>
          <w:sz w:val="18"/>
          <w:szCs w:val="18"/>
          <w:lang w:val="en-US"/>
        </w:rPr>
      </w:pPr>
      <w:r>
        <w:rPr>
          <w:rFonts w:ascii="Arial Narrow" w:hAnsi="Arial Narrow"/>
          <w:sz w:val="18"/>
          <w:szCs w:val="18"/>
          <w:lang w:val="en-US"/>
        </w:rPr>
        <w:t>If the</w:t>
      </w:r>
      <w:r w:rsidRPr="003D111D">
        <w:rPr>
          <w:rFonts w:ascii="Arial Narrow" w:hAnsi="Arial Narrow" w:cs="Arial"/>
          <w:sz w:val="18"/>
          <w:szCs w:val="18"/>
          <w:lang w:val="en-US"/>
        </w:rPr>
        <w:t xml:space="preserve"> settlement agreement</w:t>
      </w:r>
      <w:r>
        <w:rPr>
          <w:rFonts w:ascii="Arial Narrow" w:hAnsi="Arial Narrow" w:cs="Arial"/>
          <w:sz w:val="18"/>
          <w:szCs w:val="18"/>
          <w:lang w:val="en-US"/>
        </w:rPr>
        <w:t xml:space="preserve"> is</w:t>
      </w:r>
      <w:r w:rsidRPr="003D111D">
        <w:rPr>
          <w:rFonts w:ascii="Arial Narrow" w:hAnsi="Arial Narrow" w:cs="Arial"/>
          <w:sz w:val="18"/>
          <w:szCs w:val="18"/>
          <w:lang w:val="en-US"/>
        </w:rPr>
        <w:t xml:space="preserve"> approved by </w:t>
      </w:r>
      <w:r>
        <w:rPr>
          <w:rFonts w:ascii="Arial Narrow" w:hAnsi="Arial Narrow" w:cs="Arial"/>
          <w:sz w:val="18"/>
          <w:szCs w:val="18"/>
          <w:lang w:val="en-US"/>
        </w:rPr>
        <w:t>these three</w:t>
      </w:r>
      <w:r w:rsidRPr="003D111D">
        <w:rPr>
          <w:rFonts w:ascii="Arial Narrow" w:hAnsi="Arial Narrow" w:cs="Arial"/>
          <w:sz w:val="18"/>
          <w:szCs w:val="18"/>
          <w:lang w:val="en-US"/>
        </w:rPr>
        <w:t xml:space="preserve"> Courts and not terminated in accordance with its terms</w:t>
      </w:r>
      <w:r>
        <w:rPr>
          <w:rFonts w:ascii="Arial Narrow" w:hAnsi="Arial Narrow" w:cs="Arial"/>
          <w:sz w:val="18"/>
          <w:szCs w:val="18"/>
          <w:lang w:val="en-US"/>
        </w:rPr>
        <w:t>, the agreement</w:t>
      </w:r>
      <w:r w:rsidRPr="003D111D">
        <w:rPr>
          <w:rFonts w:ascii="Arial Narrow" w:hAnsi="Arial Narrow" w:cs="Arial"/>
          <w:sz w:val="18"/>
          <w:szCs w:val="18"/>
          <w:lang w:val="en-US"/>
        </w:rPr>
        <w:t xml:space="preserve"> will settle all litigation in Canada relating to </w:t>
      </w:r>
      <w:r>
        <w:rPr>
          <w:rFonts w:ascii="Arial Narrow" w:hAnsi="Arial Narrow"/>
          <w:sz w:val="18"/>
          <w:szCs w:val="18"/>
          <w:lang w:val="en-US"/>
        </w:rPr>
        <w:t>Fosamax and/or Fosavance</w:t>
      </w:r>
      <w:r w:rsidRPr="003D111D">
        <w:rPr>
          <w:rFonts w:ascii="Arial Narrow" w:hAnsi="Arial Narrow" w:cs="Arial"/>
          <w:sz w:val="18"/>
          <w:szCs w:val="18"/>
          <w:lang w:val="en-US"/>
        </w:rPr>
        <w:t>.</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The manufacturer and the distributor of Fosamax</w:t>
      </w:r>
      <w:r>
        <w:rPr>
          <w:rFonts w:ascii="Arial Narrow" w:hAnsi="Arial Narrow" w:cs="Arial"/>
          <w:sz w:val="18"/>
          <w:szCs w:val="18"/>
          <w:lang w:val="en-US"/>
        </w:rPr>
        <w:t xml:space="preserve"> and </w:t>
      </w:r>
      <w:r w:rsidRPr="003D111D">
        <w:rPr>
          <w:rFonts w:ascii="Arial Narrow" w:hAnsi="Arial Narrow" w:cs="Arial"/>
          <w:sz w:val="18"/>
          <w:szCs w:val="18"/>
          <w:lang w:val="en-US"/>
        </w:rPr>
        <w:t xml:space="preserve">Fosavance deny the plaintiffs’ allegations and deny any wrongdoing or liability.  The allegations made by the plaintiffs have not been proven in court.  </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Litigation against manufacturers of certain other bisphosphonates continues in Saskatchewan, Alberta and British Columbia.</w:t>
      </w:r>
    </w:p>
    <w:p w:rsidR="00DC1E38" w:rsidRPr="003D111D" w:rsidRDefault="00DC1E38" w:rsidP="00DC1E38">
      <w:pPr>
        <w:spacing w:after="160"/>
        <w:rPr>
          <w:rFonts w:ascii="Arial Narrow" w:hAnsi="Arial Narrow" w:cs="Arial"/>
          <w:b/>
          <w:sz w:val="20"/>
          <w:szCs w:val="20"/>
          <w:lang w:val="en-US"/>
        </w:rPr>
      </w:pPr>
      <w:r w:rsidRPr="003D111D">
        <w:rPr>
          <w:rFonts w:ascii="Arial Narrow" w:hAnsi="Arial Narrow" w:cs="Arial"/>
          <w:b/>
          <w:sz w:val="18"/>
          <w:szCs w:val="18"/>
          <w:lang w:val="en-US"/>
        </w:rPr>
        <w:t xml:space="preserve">OPTING-OUT </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 xml:space="preserve">Members of the classes described above who want to participate in the Fosamax/Fosavance settlement are automatically included and should </w:t>
      </w:r>
      <w:r w:rsidRPr="00E878DA">
        <w:rPr>
          <w:rFonts w:ascii="Arial Narrow" w:hAnsi="Arial Narrow" w:cs="Arial"/>
          <w:b/>
          <w:sz w:val="18"/>
          <w:szCs w:val="18"/>
          <w:u w:val="single"/>
          <w:lang w:val="en-US"/>
        </w:rPr>
        <w:t>not</w:t>
      </w:r>
      <w:r w:rsidRPr="003D111D">
        <w:rPr>
          <w:rFonts w:ascii="Arial Narrow" w:hAnsi="Arial Narrow" w:cs="Arial"/>
          <w:sz w:val="18"/>
          <w:szCs w:val="18"/>
          <w:lang w:val="en-US"/>
        </w:rPr>
        <w:t xml:space="preserve"> file the Opt-Out Notice discussed below.  </w:t>
      </w:r>
    </w:p>
    <w:p w:rsidR="00DC1E38" w:rsidRPr="003D111D" w:rsidRDefault="00DC1E38" w:rsidP="00DC1E38">
      <w:pPr>
        <w:spacing w:after="160"/>
        <w:rPr>
          <w:rFonts w:ascii="Arial Narrow" w:hAnsi="Arial Narrow"/>
          <w:b/>
          <w:sz w:val="18"/>
          <w:szCs w:val="18"/>
          <w:lang w:val="en-US"/>
        </w:rPr>
      </w:pPr>
      <w:r w:rsidRPr="003D111D">
        <w:rPr>
          <w:rFonts w:ascii="Arial Narrow" w:hAnsi="Arial Narrow" w:cs="Arial"/>
          <w:sz w:val="18"/>
          <w:szCs w:val="18"/>
          <w:lang w:val="en-US"/>
        </w:rPr>
        <w:t xml:space="preserve">Individuals who want to exclude themselves from a class described above must complete, sign and return an Opt-Out Form to the Administrator at the address below postmarked by </w:t>
      </w:r>
      <w:r>
        <w:rPr>
          <w:rFonts w:ascii="Arial Narrow" w:hAnsi="Arial Narrow" w:cs="Arial"/>
          <w:b/>
          <w:sz w:val="18"/>
          <w:szCs w:val="18"/>
          <w:lang w:val="en-US"/>
        </w:rPr>
        <w:t>June 13, 2016</w:t>
      </w:r>
      <w:r w:rsidRPr="003D111D">
        <w:rPr>
          <w:rFonts w:ascii="Arial Narrow" w:hAnsi="Arial Narrow" w:cs="Arial"/>
          <w:sz w:val="18"/>
          <w:szCs w:val="18"/>
          <w:lang w:val="en-US"/>
        </w:rPr>
        <w:t xml:space="preserve">.  Opt-Out Forms are available </w:t>
      </w:r>
      <w:r w:rsidRPr="003D111D">
        <w:rPr>
          <w:rFonts w:ascii="Arial Narrow" w:hAnsi="Arial Narrow"/>
          <w:sz w:val="18"/>
          <w:szCs w:val="18"/>
          <w:lang w:val="en-US"/>
        </w:rPr>
        <w:t xml:space="preserve">from the Administrator at </w:t>
      </w:r>
      <w:r>
        <w:rPr>
          <w:rFonts w:ascii="Arial Narrow" w:hAnsi="Arial Narrow"/>
          <w:b/>
          <w:sz w:val="18"/>
          <w:szCs w:val="18"/>
          <w:lang w:val="en-US"/>
        </w:rPr>
        <w:t>1-866-432-5534</w:t>
      </w:r>
      <w:r w:rsidRPr="003D111D">
        <w:rPr>
          <w:rFonts w:ascii="Arial Narrow" w:hAnsi="Arial Narrow"/>
          <w:sz w:val="18"/>
          <w:szCs w:val="18"/>
          <w:lang w:val="en-US"/>
        </w:rPr>
        <w:t>.</w:t>
      </w:r>
      <w:r>
        <w:rPr>
          <w:rFonts w:ascii="Arial Narrow" w:hAnsi="Arial Narrow"/>
          <w:sz w:val="18"/>
          <w:szCs w:val="18"/>
          <w:lang w:val="en-US"/>
        </w:rPr>
        <w:t xml:space="preserve">  No further opportunity to opt-</w:t>
      </w:r>
      <w:r w:rsidRPr="003D111D">
        <w:rPr>
          <w:rFonts w:ascii="Arial Narrow" w:hAnsi="Arial Narrow"/>
          <w:sz w:val="18"/>
          <w:szCs w:val="18"/>
          <w:lang w:val="en-US"/>
        </w:rPr>
        <w:t xml:space="preserve">out will be provided.  </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sz w:val="18"/>
          <w:szCs w:val="18"/>
          <w:lang w:val="en-US"/>
        </w:rPr>
        <w:t xml:space="preserve">An individual who opts-out will not be eligible </w:t>
      </w:r>
      <w:r w:rsidRPr="003D111D">
        <w:rPr>
          <w:rFonts w:ascii="Arial Narrow" w:hAnsi="Arial Narrow" w:cs="Arial"/>
          <w:sz w:val="18"/>
          <w:szCs w:val="18"/>
          <w:lang w:val="en-US"/>
        </w:rPr>
        <w:t>to participate in the settlement.</w:t>
      </w:r>
      <w:r w:rsidRPr="003D111D">
        <w:rPr>
          <w:rFonts w:ascii="Arial Narrow" w:hAnsi="Arial Narrow"/>
          <w:sz w:val="18"/>
          <w:szCs w:val="18"/>
          <w:lang w:val="en-US"/>
        </w:rPr>
        <w:t xml:space="preserve">  </w:t>
      </w:r>
      <w:r w:rsidRPr="003D111D">
        <w:rPr>
          <w:rFonts w:ascii="Arial Narrow" w:hAnsi="Arial Narrow" w:cs="Arial"/>
          <w:sz w:val="18"/>
          <w:szCs w:val="18"/>
          <w:lang w:val="en-US"/>
        </w:rPr>
        <w:t>Any right to pursue a claim in a separate proceeding will not be affected.  The defendants have reserved all of their arguments based on statutes of limitation, prescription or repose for class members who opt out of the settlement.</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No person may opt</w:t>
      </w:r>
      <w:r>
        <w:rPr>
          <w:rFonts w:ascii="Arial Narrow" w:hAnsi="Arial Narrow" w:cs="Arial"/>
          <w:sz w:val="18"/>
          <w:szCs w:val="18"/>
          <w:lang w:val="en-US"/>
        </w:rPr>
        <w:t>-</w:t>
      </w:r>
      <w:r w:rsidRPr="003D111D">
        <w:rPr>
          <w:rFonts w:ascii="Arial Narrow" w:hAnsi="Arial Narrow" w:cs="Arial"/>
          <w:sz w:val="18"/>
          <w:szCs w:val="18"/>
          <w:lang w:val="en-US"/>
        </w:rPr>
        <w:t xml:space="preserve">out a minor or a mentally incapable individual without permission of the court after notice to the Children’s Lawyer and/or Public Guardian and Trustee, as applicable.  If a person who took </w:t>
      </w:r>
      <w:r>
        <w:rPr>
          <w:rFonts w:ascii="Arial Narrow" w:hAnsi="Arial Narrow" w:cs="Arial"/>
          <w:sz w:val="18"/>
          <w:szCs w:val="18"/>
          <w:lang w:val="en-US"/>
        </w:rPr>
        <w:t>Fosamax and/or Fosavance</w:t>
      </w:r>
      <w:r w:rsidRPr="003D111D">
        <w:rPr>
          <w:rFonts w:ascii="Arial Narrow" w:hAnsi="Arial Narrow" w:cs="Arial"/>
          <w:sz w:val="18"/>
          <w:szCs w:val="18"/>
          <w:lang w:val="en-US"/>
        </w:rPr>
        <w:t xml:space="preserve"> opts out, his or her family members will be </w:t>
      </w:r>
      <w:r w:rsidRPr="003D111D">
        <w:rPr>
          <w:rFonts w:ascii="Arial Narrow" w:hAnsi="Arial Narrow" w:cs="Arial"/>
          <w:sz w:val="18"/>
          <w:szCs w:val="18"/>
          <w:lang w:val="en-US"/>
        </w:rPr>
        <w:lastRenderedPageBreak/>
        <w:t xml:space="preserve">deemed to have opted out.  The family members of any </w:t>
      </w:r>
      <w:r>
        <w:rPr>
          <w:rFonts w:ascii="Arial Narrow" w:hAnsi="Arial Narrow" w:cs="Arial"/>
          <w:sz w:val="18"/>
          <w:szCs w:val="18"/>
          <w:lang w:val="en-US"/>
        </w:rPr>
        <w:t>Fosamax and/or Fosavance</w:t>
      </w:r>
      <w:r w:rsidRPr="003D111D">
        <w:rPr>
          <w:rFonts w:ascii="Arial Narrow" w:hAnsi="Arial Narrow" w:cs="Arial"/>
          <w:sz w:val="18"/>
          <w:szCs w:val="18"/>
          <w:lang w:val="en-US"/>
        </w:rPr>
        <w:t xml:space="preserve"> </w:t>
      </w:r>
      <w:r w:rsidRPr="003D111D">
        <w:rPr>
          <w:rFonts w:ascii="Arial Narrow" w:hAnsi="Arial Narrow"/>
          <w:bCs/>
          <w:color w:val="000000"/>
          <w:sz w:val="18"/>
          <w:szCs w:val="18"/>
          <w:lang w:val="en-US"/>
        </w:rPr>
        <w:t xml:space="preserve">user </w:t>
      </w:r>
      <w:r w:rsidRPr="003D111D">
        <w:rPr>
          <w:rFonts w:ascii="Arial Narrow" w:hAnsi="Arial Narrow" w:cs="Arial"/>
          <w:sz w:val="18"/>
          <w:szCs w:val="18"/>
          <w:lang w:val="en-US"/>
        </w:rPr>
        <w:t xml:space="preserve">cannot opt-out unless the </w:t>
      </w:r>
      <w:r w:rsidRPr="003D111D">
        <w:rPr>
          <w:rFonts w:ascii="Arial Narrow" w:hAnsi="Arial Narrow"/>
          <w:bCs/>
          <w:color w:val="000000"/>
          <w:sz w:val="18"/>
          <w:szCs w:val="18"/>
          <w:lang w:val="en-US"/>
        </w:rPr>
        <w:t xml:space="preserve">product user </w:t>
      </w:r>
      <w:r w:rsidRPr="003D111D">
        <w:rPr>
          <w:rFonts w:ascii="Arial Narrow" w:hAnsi="Arial Narrow" w:cs="Arial"/>
          <w:sz w:val="18"/>
          <w:szCs w:val="18"/>
          <w:lang w:val="en-US"/>
        </w:rPr>
        <w:t xml:space="preserve">does so as well.  If a </w:t>
      </w:r>
      <w:r w:rsidRPr="003D111D">
        <w:rPr>
          <w:rFonts w:ascii="Arial Narrow" w:hAnsi="Arial Narrow"/>
          <w:bCs/>
          <w:color w:val="000000"/>
          <w:sz w:val="18"/>
          <w:szCs w:val="18"/>
          <w:lang w:val="en-US"/>
        </w:rPr>
        <w:t xml:space="preserve">class member </w:t>
      </w:r>
      <w:r w:rsidRPr="003D111D">
        <w:rPr>
          <w:rFonts w:ascii="Arial Narrow" w:hAnsi="Arial Narrow" w:cs="Arial"/>
          <w:sz w:val="18"/>
          <w:szCs w:val="18"/>
          <w:lang w:val="en-US"/>
        </w:rPr>
        <w:t>is deceased, his or her estate trustee has the right to opt out.</w:t>
      </w:r>
    </w:p>
    <w:p w:rsidR="00DC1E38" w:rsidRPr="003D111D" w:rsidRDefault="00DC1E38" w:rsidP="00DC1E38">
      <w:pPr>
        <w:spacing w:after="160"/>
        <w:rPr>
          <w:rFonts w:ascii="Arial Narrow" w:hAnsi="Arial Narrow" w:cs="Arial"/>
          <w:b/>
          <w:sz w:val="20"/>
          <w:szCs w:val="20"/>
          <w:lang w:val="en-US"/>
        </w:rPr>
      </w:pPr>
      <w:r w:rsidRPr="003D111D">
        <w:rPr>
          <w:rFonts w:ascii="Arial Narrow" w:hAnsi="Arial Narrow" w:cs="Arial"/>
          <w:b/>
          <w:sz w:val="20"/>
          <w:szCs w:val="20"/>
          <w:lang w:val="en-US"/>
        </w:rPr>
        <w:t>SUMMARY OF FOSAMAX/FOSAVANCE SETTLEMENT AGREEMENT</w:t>
      </w:r>
    </w:p>
    <w:p w:rsidR="00DC1E38" w:rsidRPr="003D111D" w:rsidRDefault="00DC1E38" w:rsidP="00DC1E38">
      <w:pPr>
        <w:spacing w:after="160"/>
        <w:rPr>
          <w:rFonts w:ascii="Arial Narrow" w:hAnsi="Arial Narrow"/>
          <w:sz w:val="18"/>
          <w:szCs w:val="18"/>
          <w:lang w:val="en-US"/>
        </w:rPr>
      </w:pPr>
      <w:r w:rsidRPr="003D111D">
        <w:rPr>
          <w:rFonts w:ascii="Arial Narrow" w:hAnsi="Arial Narrow" w:cs="Arial"/>
          <w:sz w:val="18"/>
          <w:szCs w:val="18"/>
          <w:lang w:val="en-US"/>
        </w:rPr>
        <w:t xml:space="preserve">If you would like a </w:t>
      </w:r>
      <w:r w:rsidRPr="00DC1E38">
        <w:rPr>
          <w:rFonts w:ascii="Arial Narrow" w:hAnsi="Arial Narrow" w:cs="Arial"/>
          <w:sz w:val="18"/>
          <w:szCs w:val="18"/>
          <w:lang w:val="en-US"/>
        </w:rPr>
        <w:t>copy of the settlement agreement</w:t>
      </w:r>
      <w:r w:rsidRPr="003D111D">
        <w:rPr>
          <w:rFonts w:ascii="Arial Narrow" w:hAnsi="Arial Narrow" w:cs="Arial"/>
          <w:sz w:val="18"/>
          <w:szCs w:val="18"/>
          <w:lang w:val="en-US"/>
        </w:rPr>
        <w:t xml:space="preserve">, it is available at </w:t>
      </w:r>
      <w:r>
        <w:rPr>
          <w:rFonts w:ascii="Arial Narrow" w:hAnsi="Arial Narrow"/>
          <w:color w:val="0000FF"/>
          <w:sz w:val="18"/>
          <w:szCs w:val="18"/>
          <w:u w:val="single"/>
          <w:lang w:val="en-US"/>
        </w:rPr>
        <w:t>www.fosamaxclassaction.ca</w:t>
      </w:r>
      <w:r w:rsidRPr="003D111D">
        <w:rPr>
          <w:rFonts w:ascii="Arial Narrow" w:hAnsi="Arial Narrow"/>
          <w:sz w:val="18"/>
          <w:szCs w:val="18"/>
          <w:lang w:val="en-US"/>
        </w:rPr>
        <w:t xml:space="preserve"> or a copy can be obtained from contacting Class Counsel as listed below or by contacting the Administrator.  If the settlement agreement is approved by all Canadian courts and is not terminated by the parties:</w:t>
      </w:r>
      <w:r>
        <w:rPr>
          <w:rFonts w:ascii="Arial Narrow" w:hAnsi="Arial Narrow"/>
          <w:sz w:val="18"/>
          <w:szCs w:val="18"/>
          <w:lang w:val="en-US"/>
        </w:rPr>
        <w:t xml:space="preserve"> </w:t>
      </w:r>
    </w:p>
    <w:p w:rsidR="00DC1E38" w:rsidRPr="003D111D" w:rsidRDefault="00DC1E38" w:rsidP="00DC1E38">
      <w:pPr>
        <w:numPr>
          <w:ilvl w:val="0"/>
          <w:numId w:val="3"/>
        </w:numPr>
        <w:spacing w:after="160"/>
        <w:jc w:val="left"/>
        <w:rPr>
          <w:rFonts w:ascii="Arial Narrow" w:hAnsi="Arial Narrow" w:cs="Arial"/>
          <w:sz w:val="18"/>
          <w:szCs w:val="18"/>
          <w:lang w:val="en-US"/>
        </w:rPr>
      </w:pPr>
      <w:r w:rsidRPr="003D111D">
        <w:rPr>
          <w:rFonts w:ascii="Arial Narrow" w:hAnsi="Arial Narrow" w:cs="Arial"/>
          <w:sz w:val="18"/>
          <w:szCs w:val="18"/>
          <w:lang w:val="en-US"/>
        </w:rPr>
        <w:t xml:space="preserve">The Defendants, while not admitting liability, will pay a sum of $6,375,000 </w:t>
      </w:r>
      <w:r w:rsidRPr="003D111D">
        <w:rPr>
          <w:rFonts w:ascii="Arial Narrow" w:hAnsi="Arial Narrow"/>
          <w:sz w:val="18"/>
          <w:szCs w:val="18"/>
          <w:lang w:val="en-US"/>
        </w:rPr>
        <w:t xml:space="preserve">(inclusive of the payments to provincial and territorial governments described hereinbelow, and of up to $2 million towards any awarded class counsel fees and disbursements and up to </w:t>
      </w:r>
      <w:r w:rsidRPr="003D111D">
        <w:rPr>
          <w:rFonts w:ascii="Arial Narrow" w:hAnsi="Arial Narrow" w:cs="Arial"/>
          <w:sz w:val="18"/>
          <w:szCs w:val="18"/>
          <w:lang w:val="en-US"/>
        </w:rPr>
        <w:t xml:space="preserve">$500,000 </w:t>
      </w:r>
      <w:r w:rsidRPr="003D111D">
        <w:rPr>
          <w:rFonts w:ascii="Arial Narrow" w:hAnsi="Arial Narrow"/>
          <w:sz w:val="18"/>
          <w:szCs w:val="18"/>
          <w:lang w:val="en-US"/>
        </w:rPr>
        <w:t>of administrative expenses)</w:t>
      </w:r>
      <w:r>
        <w:rPr>
          <w:rFonts w:ascii="Arial Narrow" w:hAnsi="Arial Narrow" w:cs="Arial"/>
          <w:sz w:val="18"/>
          <w:szCs w:val="18"/>
          <w:lang w:val="en-US"/>
        </w:rPr>
        <w:t>.</w:t>
      </w:r>
    </w:p>
    <w:p w:rsidR="00DC1E38" w:rsidRPr="003D111D" w:rsidRDefault="00DC1E38" w:rsidP="00DC1E38">
      <w:pPr>
        <w:numPr>
          <w:ilvl w:val="0"/>
          <w:numId w:val="3"/>
        </w:numPr>
        <w:spacing w:after="160"/>
        <w:jc w:val="left"/>
        <w:rPr>
          <w:rFonts w:ascii="Arial Narrow" w:hAnsi="Arial Narrow" w:cs="Arial"/>
          <w:sz w:val="18"/>
          <w:szCs w:val="18"/>
          <w:lang w:val="en-US"/>
        </w:rPr>
      </w:pPr>
      <w:r w:rsidRPr="003D111D">
        <w:rPr>
          <w:rFonts w:ascii="Arial Narrow" w:hAnsi="Arial Narrow" w:cs="Arial"/>
          <w:sz w:val="18"/>
          <w:szCs w:val="18"/>
          <w:lang w:val="en-US"/>
        </w:rPr>
        <w:t xml:space="preserve">Claimants or their estates may be eligible to receive settlement payments if they took </w:t>
      </w:r>
      <w:r>
        <w:rPr>
          <w:rFonts w:ascii="Arial Narrow" w:hAnsi="Arial Narrow" w:cs="Arial"/>
          <w:sz w:val="18"/>
          <w:szCs w:val="18"/>
          <w:lang w:val="en-US"/>
        </w:rPr>
        <w:t>Fosamax and/or Fosavance</w:t>
      </w:r>
      <w:r w:rsidRPr="003D111D">
        <w:rPr>
          <w:rFonts w:ascii="Arial Narrow" w:hAnsi="Arial Narrow" w:cs="Arial"/>
          <w:sz w:val="18"/>
          <w:szCs w:val="18"/>
          <w:lang w:val="en-US"/>
        </w:rPr>
        <w:t xml:space="preserve"> and then experienced osteonecrosis of the jaw (“ONJ”) or an atypical femur fracture.</w:t>
      </w:r>
    </w:p>
    <w:p w:rsidR="00DC1E38" w:rsidRPr="003D111D" w:rsidRDefault="00DC1E38" w:rsidP="00DC1E38">
      <w:pPr>
        <w:numPr>
          <w:ilvl w:val="0"/>
          <w:numId w:val="3"/>
        </w:numPr>
        <w:spacing w:after="160"/>
        <w:jc w:val="left"/>
        <w:rPr>
          <w:rFonts w:ascii="Arial Narrow" w:hAnsi="Arial Narrow" w:cs="Arial"/>
          <w:sz w:val="18"/>
          <w:szCs w:val="18"/>
          <w:lang w:val="en-US"/>
        </w:rPr>
      </w:pPr>
      <w:r w:rsidRPr="003D111D">
        <w:rPr>
          <w:rFonts w:ascii="Arial Narrow" w:hAnsi="Arial Narrow" w:cs="Arial"/>
          <w:sz w:val="18"/>
          <w:szCs w:val="18"/>
          <w:lang w:val="en-US"/>
        </w:rPr>
        <w:t>The size of payments to eligible claimants who had ONJ or an atypical femur fracture will be based on the number of approved claims and other factors such as the nature of the adverse event alleged.</w:t>
      </w:r>
    </w:p>
    <w:p w:rsidR="00DC1E38" w:rsidRPr="003D111D" w:rsidRDefault="00DC1E38" w:rsidP="00DC1E38">
      <w:pPr>
        <w:numPr>
          <w:ilvl w:val="0"/>
          <w:numId w:val="3"/>
        </w:numPr>
        <w:spacing w:after="160"/>
        <w:jc w:val="left"/>
        <w:rPr>
          <w:rFonts w:ascii="Arial Narrow" w:hAnsi="Arial Narrow" w:cs="Arial"/>
          <w:sz w:val="18"/>
          <w:szCs w:val="18"/>
          <w:lang w:val="en-US"/>
        </w:rPr>
      </w:pPr>
      <w:r w:rsidRPr="003D111D">
        <w:rPr>
          <w:rFonts w:ascii="Arial Narrow" w:hAnsi="Arial Narrow" w:cs="Arial"/>
          <w:sz w:val="18"/>
          <w:szCs w:val="18"/>
          <w:lang w:val="en-US"/>
        </w:rPr>
        <w:t>Spouses and children of eligible claimants may also be eligible to receive settlement payments.</w:t>
      </w:r>
    </w:p>
    <w:p w:rsidR="00DC1E38" w:rsidRPr="003D111D" w:rsidRDefault="00DC1E38" w:rsidP="00DC1E38">
      <w:pPr>
        <w:numPr>
          <w:ilvl w:val="0"/>
          <w:numId w:val="3"/>
        </w:numPr>
        <w:spacing w:after="160"/>
        <w:jc w:val="left"/>
        <w:rPr>
          <w:rFonts w:ascii="Arial Narrow" w:hAnsi="Arial Narrow" w:cs="Arial"/>
          <w:sz w:val="18"/>
          <w:szCs w:val="18"/>
          <w:lang w:val="en-US"/>
        </w:rPr>
      </w:pPr>
      <w:r w:rsidRPr="003D111D">
        <w:rPr>
          <w:rFonts w:ascii="Arial Narrow" w:hAnsi="Arial Narrow" w:cs="Arial"/>
          <w:sz w:val="18"/>
          <w:szCs w:val="18"/>
          <w:lang w:val="en-US"/>
        </w:rPr>
        <w:t xml:space="preserve">Provincial and territorial governments will share $650,000 of the settlement fund, which shall be in full satisfaction of their purchases of </w:t>
      </w:r>
      <w:r>
        <w:rPr>
          <w:rFonts w:ascii="Arial Narrow" w:hAnsi="Arial Narrow" w:cs="Arial"/>
          <w:sz w:val="18"/>
          <w:szCs w:val="18"/>
          <w:lang w:val="en-US"/>
        </w:rPr>
        <w:t>Fosamax and/or Fosavance</w:t>
      </w:r>
      <w:r w:rsidRPr="003D111D">
        <w:rPr>
          <w:rFonts w:ascii="Arial Narrow" w:hAnsi="Arial Narrow" w:cs="Arial"/>
          <w:sz w:val="18"/>
          <w:szCs w:val="18"/>
          <w:lang w:val="en-US"/>
        </w:rPr>
        <w:t xml:space="preserve"> and of medical </w:t>
      </w:r>
      <w:r>
        <w:rPr>
          <w:rFonts w:ascii="Arial Narrow" w:hAnsi="Arial Narrow" w:cs="Arial"/>
          <w:sz w:val="18"/>
          <w:szCs w:val="18"/>
          <w:lang w:val="en-US"/>
        </w:rPr>
        <w:t xml:space="preserve">or dental </w:t>
      </w:r>
      <w:r w:rsidRPr="003D111D">
        <w:rPr>
          <w:rFonts w:ascii="Arial Narrow" w:hAnsi="Arial Narrow" w:cs="Arial"/>
          <w:sz w:val="18"/>
          <w:szCs w:val="18"/>
          <w:lang w:val="en-US"/>
        </w:rPr>
        <w:t>services provided or to be provided to class members.</w:t>
      </w:r>
    </w:p>
    <w:p w:rsidR="00DC1E38" w:rsidRPr="003D111D" w:rsidRDefault="00DC1E38" w:rsidP="00DC1E38">
      <w:pPr>
        <w:spacing w:after="160"/>
        <w:rPr>
          <w:rFonts w:ascii="Arial Narrow" w:hAnsi="Arial Narrow" w:cs="Arial"/>
          <w:b/>
          <w:sz w:val="20"/>
          <w:szCs w:val="20"/>
          <w:lang w:val="en-US"/>
        </w:rPr>
      </w:pPr>
      <w:r w:rsidRPr="003D111D">
        <w:rPr>
          <w:rFonts w:ascii="Arial Narrow" w:hAnsi="Arial Narrow" w:cs="Arial"/>
          <w:b/>
          <w:sz w:val="20"/>
          <w:szCs w:val="20"/>
          <w:lang w:val="en-US"/>
        </w:rPr>
        <w:t>THE SETTLEMENT APPROVAL HEARING</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 xml:space="preserve">A motion for approval of the settlement will be heard by the Ontario Court in </w:t>
      </w:r>
      <w:r>
        <w:rPr>
          <w:rFonts w:ascii="Arial Narrow" w:hAnsi="Arial Narrow" w:cs="Arial"/>
          <w:sz w:val="18"/>
          <w:szCs w:val="18"/>
          <w:lang w:val="en-US"/>
        </w:rPr>
        <w:t>London</w:t>
      </w:r>
      <w:r w:rsidRPr="003D111D">
        <w:rPr>
          <w:rFonts w:ascii="Arial Narrow" w:hAnsi="Arial Narrow" w:cs="Arial"/>
          <w:sz w:val="18"/>
          <w:szCs w:val="18"/>
          <w:lang w:val="en-US"/>
        </w:rPr>
        <w:t xml:space="preserve"> on </w:t>
      </w:r>
      <w:r>
        <w:rPr>
          <w:rFonts w:ascii="Arial Narrow" w:hAnsi="Arial Narrow" w:cs="Arial"/>
          <w:b/>
          <w:sz w:val="18"/>
          <w:szCs w:val="18"/>
          <w:lang w:val="en-US"/>
        </w:rPr>
        <w:t>July 8, 2016</w:t>
      </w:r>
      <w:r w:rsidRPr="003D111D">
        <w:rPr>
          <w:rFonts w:ascii="Arial Narrow" w:hAnsi="Arial Narrow" w:cs="Arial"/>
          <w:sz w:val="18"/>
          <w:szCs w:val="18"/>
          <w:lang w:val="en-US"/>
        </w:rPr>
        <w:t xml:space="preserve"> at 10 a.m., by the Quebec Court in Montreal</w:t>
      </w:r>
      <w:r>
        <w:rPr>
          <w:rFonts w:ascii="Arial Narrow" w:hAnsi="Arial Narrow" w:cs="Arial"/>
          <w:sz w:val="18"/>
          <w:szCs w:val="18"/>
          <w:lang w:val="en-US"/>
        </w:rPr>
        <w:t xml:space="preserve"> on </w:t>
      </w:r>
      <w:r>
        <w:rPr>
          <w:rFonts w:ascii="Arial Narrow" w:hAnsi="Arial Narrow" w:cs="Arial"/>
          <w:b/>
          <w:sz w:val="18"/>
          <w:szCs w:val="18"/>
          <w:lang w:val="en-US"/>
        </w:rPr>
        <w:t xml:space="preserve">June 30, 2016 </w:t>
      </w:r>
      <w:r w:rsidRPr="00E878DA">
        <w:rPr>
          <w:rFonts w:ascii="Arial Narrow" w:hAnsi="Arial Narrow" w:cs="Arial"/>
          <w:sz w:val="18"/>
          <w:szCs w:val="18"/>
          <w:lang w:val="en-US"/>
        </w:rPr>
        <w:t>at 9:30</w:t>
      </w:r>
      <w:r>
        <w:rPr>
          <w:rFonts w:ascii="Arial Narrow" w:hAnsi="Arial Narrow" w:cs="Arial"/>
          <w:sz w:val="18"/>
          <w:szCs w:val="18"/>
          <w:lang w:val="en-US"/>
        </w:rPr>
        <w:t xml:space="preserve"> </w:t>
      </w:r>
      <w:r w:rsidRPr="00E878DA">
        <w:rPr>
          <w:rFonts w:ascii="Arial Narrow" w:hAnsi="Arial Narrow" w:cs="Arial"/>
          <w:sz w:val="18"/>
          <w:szCs w:val="18"/>
          <w:lang w:val="en-US"/>
        </w:rPr>
        <w:t>a</w:t>
      </w:r>
      <w:r>
        <w:rPr>
          <w:rFonts w:ascii="Arial Narrow" w:hAnsi="Arial Narrow" w:cs="Arial"/>
          <w:sz w:val="18"/>
          <w:szCs w:val="18"/>
          <w:lang w:val="en-US"/>
        </w:rPr>
        <w:t>.</w:t>
      </w:r>
      <w:r w:rsidRPr="00E878DA">
        <w:rPr>
          <w:rFonts w:ascii="Arial Narrow" w:hAnsi="Arial Narrow" w:cs="Arial"/>
          <w:sz w:val="18"/>
          <w:szCs w:val="18"/>
          <w:lang w:val="en-US"/>
        </w:rPr>
        <w:t>m</w:t>
      </w:r>
      <w:r>
        <w:rPr>
          <w:rFonts w:ascii="Arial Narrow" w:hAnsi="Arial Narrow" w:cs="Arial"/>
          <w:sz w:val="18"/>
          <w:szCs w:val="18"/>
          <w:lang w:val="en-US"/>
        </w:rPr>
        <w:t>.</w:t>
      </w:r>
      <w:r w:rsidRPr="003D111D">
        <w:rPr>
          <w:rFonts w:ascii="Arial Narrow" w:hAnsi="Arial Narrow" w:cs="Arial"/>
          <w:sz w:val="18"/>
          <w:szCs w:val="18"/>
          <w:lang w:val="en-US"/>
        </w:rPr>
        <w:t xml:space="preserve">, and the Saskatchewan Court in Saskatoon on </w:t>
      </w:r>
      <w:r>
        <w:rPr>
          <w:rFonts w:ascii="Arial Narrow" w:hAnsi="Arial Narrow" w:cs="Arial"/>
          <w:b/>
          <w:sz w:val="18"/>
          <w:szCs w:val="18"/>
          <w:lang w:val="en-US"/>
        </w:rPr>
        <w:t>June 17, 2016</w:t>
      </w:r>
      <w:r w:rsidRPr="003D111D">
        <w:rPr>
          <w:rFonts w:ascii="Arial Narrow" w:hAnsi="Arial Narrow" w:cs="Arial"/>
          <w:b/>
          <w:sz w:val="18"/>
          <w:szCs w:val="18"/>
          <w:lang w:val="en-US"/>
        </w:rPr>
        <w:t xml:space="preserve"> </w:t>
      </w:r>
      <w:r w:rsidRPr="003D111D">
        <w:rPr>
          <w:rFonts w:ascii="Arial Narrow" w:hAnsi="Arial Narrow" w:cs="Arial"/>
          <w:sz w:val="18"/>
          <w:szCs w:val="18"/>
          <w:lang w:val="en-US"/>
        </w:rPr>
        <w:t xml:space="preserve">at 10 a.m.  The Court will determine whether the settlement is fair, reasonable, and in the best interests of class members.  Class Counsel will also seek approval of fees, plus disbursements and taxes.  </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 xml:space="preserve">Class members who do not oppose the settlement need not appear at the hearing or take any other action at this time to indicate their desire to participate in the settlement.  All class members who have not opted out have the right to present their arguments to the court as regards the settlement and the distribution of any balance remaining by making a written submission postmarked no later than </w:t>
      </w:r>
      <w:r>
        <w:rPr>
          <w:rFonts w:ascii="Arial Narrow" w:hAnsi="Arial Narrow" w:cs="Arial"/>
          <w:b/>
          <w:sz w:val="18"/>
          <w:szCs w:val="18"/>
          <w:lang w:val="en-US"/>
        </w:rPr>
        <w:t xml:space="preserve">June 6, 2016 </w:t>
      </w:r>
      <w:r w:rsidRPr="003D111D">
        <w:rPr>
          <w:rFonts w:ascii="Arial Narrow" w:hAnsi="Arial Narrow" w:cs="Arial"/>
          <w:sz w:val="18"/>
          <w:szCs w:val="18"/>
          <w:lang w:val="en-US"/>
        </w:rPr>
        <w:t xml:space="preserve">to </w:t>
      </w:r>
      <w:r>
        <w:rPr>
          <w:rFonts w:ascii="Arial Narrow" w:hAnsi="Arial Narrow" w:cs="Arial"/>
          <w:sz w:val="18"/>
          <w:szCs w:val="18"/>
          <w:lang w:val="en-US"/>
        </w:rPr>
        <w:t>Class Counsel</w:t>
      </w:r>
      <w:r w:rsidRPr="003D111D">
        <w:rPr>
          <w:rFonts w:ascii="Arial Narrow" w:hAnsi="Arial Narrow" w:cs="Arial"/>
          <w:sz w:val="18"/>
          <w:szCs w:val="18"/>
          <w:lang w:val="en-US"/>
        </w:rPr>
        <w:t xml:space="preserve">.  If no written submission is filed, you may not be entitled to participate, through oral submissions or otherwise, in the settlement approval hearing.  </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The written objection should include the following information:</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1. The individual's name, address, telephone number, fax number and e-mail address.</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2. A description of the reasons that the individual believes that he or she is a member of a class described above.</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3. A brief statement of the nature of and reasons for the objection.</w:t>
      </w:r>
    </w:p>
    <w:p w:rsidR="00DC1E38" w:rsidRPr="003D111D" w:rsidRDefault="00DC1E38" w:rsidP="00DC1E38">
      <w:pPr>
        <w:spacing w:after="160"/>
        <w:rPr>
          <w:rFonts w:ascii="Arial Narrow" w:hAnsi="Arial Narrow" w:cs="Arial"/>
          <w:sz w:val="18"/>
          <w:szCs w:val="18"/>
          <w:lang w:val="en-US"/>
        </w:rPr>
      </w:pPr>
      <w:r w:rsidRPr="003D111D">
        <w:rPr>
          <w:rFonts w:ascii="Arial Narrow" w:hAnsi="Arial Narrow" w:cs="Arial"/>
          <w:sz w:val="18"/>
          <w:szCs w:val="18"/>
          <w:lang w:val="en-US"/>
        </w:rPr>
        <w:t>4. Whether he or she intends to appear at the Court hearing in person or through a lawyer and if through a lawyer, the lawyer's name, address, telephone number, fax number and e-mail address.</w:t>
      </w:r>
    </w:p>
    <w:p w:rsidR="00DC1E38" w:rsidRPr="003D111D" w:rsidRDefault="00DC1E38" w:rsidP="00DC1E38">
      <w:pPr>
        <w:spacing w:after="160"/>
        <w:rPr>
          <w:rFonts w:ascii="Arial Narrow" w:hAnsi="Arial Narrow" w:cs="Arial"/>
          <w:b/>
          <w:sz w:val="20"/>
          <w:szCs w:val="20"/>
          <w:lang w:val="en-US"/>
        </w:rPr>
      </w:pPr>
      <w:r w:rsidRPr="003D111D">
        <w:rPr>
          <w:rFonts w:ascii="Arial Narrow" w:hAnsi="Arial Narrow" w:cs="Arial"/>
          <w:b/>
          <w:sz w:val="20"/>
          <w:szCs w:val="20"/>
          <w:lang w:val="en-US"/>
        </w:rPr>
        <w:t>IMPORTANT DEADLINES</w:t>
      </w:r>
      <w:r>
        <w:rPr>
          <w:rFonts w:ascii="Arial Narrow" w:hAnsi="Arial Narrow" w:cs="Arial"/>
          <w:b/>
          <w:sz w:val="20"/>
          <w:szCs w:val="20"/>
          <w:lang w:val="en-US"/>
        </w:rPr>
        <w:t>:</w:t>
      </w:r>
    </w:p>
    <w:p w:rsidR="00DC1E38" w:rsidRPr="003D111D" w:rsidRDefault="00DC1E38" w:rsidP="00DC1E38">
      <w:pPr>
        <w:spacing w:after="160"/>
        <w:rPr>
          <w:rFonts w:ascii="Arial Narrow" w:hAnsi="Arial Narrow" w:cs="Arial"/>
          <w:b/>
          <w:sz w:val="18"/>
          <w:szCs w:val="18"/>
          <w:lang w:val="en-US"/>
        </w:rPr>
      </w:pPr>
      <w:r>
        <w:rPr>
          <w:rFonts w:ascii="Arial Narrow" w:hAnsi="Arial Narrow" w:cs="Arial"/>
          <w:b/>
          <w:sz w:val="18"/>
          <w:szCs w:val="18"/>
          <w:lang w:val="en-US"/>
        </w:rPr>
        <w:t>JUNE 13, 2016 -</w:t>
      </w:r>
      <w:r w:rsidRPr="003D111D">
        <w:rPr>
          <w:rFonts w:ascii="Arial Narrow" w:hAnsi="Arial Narrow" w:cs="Arial"/>
          <w:sz w:val="18"/>
          <w:szCs w:val="18"/>
          <w:lang w:val="en-US"/>
        </w:rPr>
        <w:t xml:space="preserve"> </w:t>
      </w:r>
      <w:r w:rsidRPr="003D111D">
        <w:rPr>
          <w:rFonts w:ascii="Arial Narrow" w:hAnsi="Arial Narrow" w:cs="Arial"/>
          <w:b/>
          <w:sz w:val="18"/>
          <w:szCs w:val="18"/>
          <w:lang w:val="en-US"/>
        </w:rPr>
        <w:t xml:space="preserve">Deadline for Class Members to opt out </w:t>
      </w:r>
    </w:p>
    <w:p w:rsidR="00DC1E38" w:rsidRPr="003D111D" w:rsidRDefault="00DC1E38" w:rsidP="00DC1E38">
      <w:pPr>
        <w:spacing w:after="160"/>
        <w:rPr>
          <w:rFonts w:ascii="Arial Narrow" w:hAnsi="Arial Narrow" w:cs="Arial"/>
          <w:b/>
          <w:sz w:val="18"/>
          <w:szCs w:val="18"/>
          <w:lang w:val="en-US"/>
        </w:rPr>
      </w:pPr>
      <w:r>
        <w:rPr>
          <w:rFonts w:ascii="Arial Narrow" w:hAnsi="Arial Narrow" w:cs="Arial"/>
          <w:b/>
          <w:sz w:val="18"/>
          <w:szCs w:val="18"/>
          <w:lang w:val="en-US"/>
        </w:rPr>
        <w:t xml:space="preserve">JUNE 6, 2016 - </w:t>
      </w:r>
      <w:r w:rsidRPr="003D111D">
        <w:rPr>
          <w:rFonts w:ascii="Arial Narrow" w:hAnsi="Arial Narrow" w:cs="Arial"/>
          <w:sz w:val="18"/>
          <w:szCs w:val="18"/>
          <w:lang w:val="en-US"/>
        </w:rPr>
        <w:t xml:space="preserve"> </w:t>
      </w:r>
      <w:r w:rsidRPr="003D111D">
        <w:rPr>
          <w:rFonts w:ascii="Arial Narrow" w:hAnsi="Arial Narrow" w:cs="Arial"/>
          <w:b/>
          <w:sz w:val="18"/>
          <w:szCs w:val="18"/>
          <w:lang w:val="en-US"/>
        </w:rPr>
        <w:t>Deadline to submit written objection to the settlement</w:t>
      </w:r>
    </w:p>
    <w:p w:rsidR="00DC1E38" w:rsidRPr="003D111D" w:rsidRDefault="00DC1E38" w:rsidP="00DC1E38">
      <w:pPr>
        <w:spacing w:after="160"/>
        <w:rPr>
          <w:rFonts w:ascii="Arial Narrow" w:hAnsi="Arial Narrow" w:cs="Arial"/>
          <w:b/>
          <w:sz w:val="20"/>
          <w:szCs w:val="20"/>
          <w:lang w:val="en-US"/>
        </w:rPr>
      </w:pPr>
      <w:r w:rsidRPr="003D111D">
        <w:rPr>
          <w:rFonts w:ascii="Arial Narrow" w:hAnsi="Arial Narrow" w:cs="Arial"/>
          <w:b/>
          <w:sz w:val="20"/>
          <w:szCs w:val="20"/>
          <w:lang w:val="en-US"/>
        </w:rPr>
        <w:t>ADDITIONAL INFORMATION</w:t>
      </w:r>
    </w:p>
    <w:p w:rsidR="00DC1E38" w:rsidRDefault="00DC1E38" w:rsidP="00DC1E38">
      <w:pPr>
        <w:spacing w:after="160"/>
        <w:rPr>
          <w:rFonts w:ascii="Arial Narrow" w:hAnsi="Arial Narrow"/>
          <w:sz w:val="18"/>
          <w:szCs w:val="18"/>
          <w:lang w:val="en-US"/>
        </w:rPr>
      </w:pPr>
      <w:r w:rsidRPr="003D111D">
        <w:rPr>
          <w:rFonts w:ascii="Arial Narrow" w:hAnsi="Arial Narrow"/>
          <w:sz w:val="18"/>
          <w:szCs w:val="18"/>
          <w:lang w:val="en-US"/>
        </w:rPr>
        <w:t xml:space="preserve">An </w:t>
      </w:r>
      <w:r w:rsidRPr="00DC1E38">
        <w:rPr>
          <w:rFonts w:ascii="Arial Narrow" w:hAnsi="Arial Narrow"/>
          <w:sz w:val="18"/>
          <w:szCs w:val="18"/>
          <w:lang w:val="en-US"/>
        </w:rPr>
        <w:t>opt-out form</w:t>
      </w:r>
      <w:r w:rsidRPr="003D111D">
        <w:rPr>
          <w:rFonts w:ascii="Arial Narrow" w:hAnsi="Arial Narrow"/>
          <w:sz w:val="18"/>
          <w:szCs w:val="18"/>
          <w:lang w:val="en-US"/>
        </w:rPr>
        <w:t xml:space="preserve"> and further information are available at </w:t>
      </w:r>
      <w:r>
        <w:rPr>
          <w:rFonts w:ascii="Arial Narrow" w:hAnsi="Arial Narrow"/>
          <w:color w:val="0000FF"/>
          <w:sz w:val="18"/>
          <w:szCs w:val="18"/>
          <w:u w:val="single"/>
          <w:lang w:val="en-US"/>
        </w:rPr>
        <w:t>www.mckenzielake.com</w:t>
      </w:r>
      <w:r w:rsidRPr="003D111D">
        <w:rPr>
          <w:rFonts w:ascii="Arial Narrow" w:hAnsi="Arial Narrow"/>
          <w:sz w:val="18"/>
          <w:szCs w:val="18"/>
          <w:lang w:val="en-US"/>
        </w:rPr>
        <w:t xml:space="preserve"> or by contacting the Administrator at</w:t>
      </w:r>
      <w:r>
        <w:rPr>
          <w:rFonts w:ascii="Arial Narrow" w:hAnsi="Arial Narrow"/>
          <w:sz w:val="18"/>
          <w:szCs w:val="18"/>
          <w:lang w:val="en-US"/>
        </w:rPr>
        <w:t>:</w:t>
      </w:r>
      <w:r>
        <w:rPr>
          <w:rFonts w:ascii="Arial Narrow" w:hAnsi="Arial Narrow"/>
          <w:sz w:val="18"/>
          <w:szCs w:val="18"/>
          <w:lang w:val="en-US"/>
        </w:rPr>
        <w:t>.</w:t>
      </w:r>
      <w:bookmarkStart w:id="1" w:name="_GoBack"/>
      <w:bookmarkEnd w:id="1"/>
    </w:p>
    <w:p w:rsidR="00DC1E38" w:rsidRPr="00E878DA" w:rsidRDefault="00DC1E38" w:rsidP="00DC1E38">
      <w:pPr>
        <w:spacing w:after="160"/>
        <w:jc w:val="center"/>
        <w:rPr>
          <w:rFonts w:ascii="Arial Narrow" w:hAnsi="Arial Narrow"/>
          <w:b/>
          <w:sz w:val="18"/>
          <w:szCs w:val="18"/>
          <w:lang w:val="en-US"/>
        </w:rPr>
      </w:pPr>
      <w:r w:rsidRPr="00E878DA">
        <w:rPr>
          <w:rFonts w:ascii="Arial Narrow" w:hAnsi="Arial Narrow"/>
          <w:b/>
          <w:sz w:val="18"/>
          <w:szCs w:val="18"/>
          <w:lang w:val="en-US"/>
        </w:rPr>
        <w:t>Fosamax Class Action</w:t>
      </w:r>
      <w:r w:rsidRPr="00E878DA">
        <w:rPr>
          <w:rFonts w:ascii="Arial Narrow" w:hAnsi="Arial Narrow"/>
          <w:b/>
          <w:sz w:val="18"/>
          <w:szCs w:val="18"/>
          <w:lang w:val="en-US"/>
        </w:rPr>
        <w:br/>
        <w:t>Claims Administrator</w:t>
      </w:r>
      <w:r w:rsidRPr="00E878DA">
        <w:rPr>
          <w:rFonts w:ascii="Arial Narrow" w:hAnsi="Arial Narrow"/>
          <w:b/>
          <w:sz w:val="18"/>
          <w:szCs w:val="18"/>
          <w:lang w:val="en-US"/>
        </w:rPr>
        <w:br/>
        <w:t>PO BOX 3355</w:t>
      </w:r>
      <w:r w:rsidRPr="00E878DA">
        <w:rPr>
          <w:rFonts w:ascii="Arial Narrow" w:hAnsi="Arial Narrow"/>
          <w:b/>
          <w:sz w:val="18"/>
          <w:szCs w:val="18"/>
          <w:lang w:val="en-US"/>
        </w:rPr>
        <w:br/>
        <w:t>London, Ontario  N6A 4K3</w:t>
      </w:r>
      <w:r w:rsidRPr="00E878DA">
        <w:rPr>
          <w:rFonts w:ascii="Arial Narrow" w:hAnsi="Arial Narrow"/>
          <w:b/>
          <w:sz w:val="18"/>
          <w:szCs w:val="18"/>
          <w:lang w:val="en-US"/>
        </w:rPr>
        <w:br/>
        <w:t>Tel: 1 (866) 432-5534</w:t>
      </w:r>
    </w:p>
    <w:p w:rsidR="00DC1E38" w:rsidRPr="00263E67" w:rsidRDefault="00DC1E38" w:rsidP="00DC1E38">
      <w:pPr>
        <w:spacing w:after="160"/>
        <w:jc w:val="center"/>
        <w:rPr>
          <w:rFonts w:ascii="Arial" w:hAnsi="Arial" w:cs="Arial"/>
          <w:b/>
          <w:sz w:val="20"/>
        </w:rPr>
      </w:pPr>
      <w:r w:rsidRPr="00263E67">
        <w:rPr>
          <w:rFonts w:ascii="Arial" w:hAnsi="Arial" w:cs="Arial"/>
          <w:b/>
          <w:sz w:val="18"/>
          <w:szCs w:val="18"/>
          <w:lang w:val="en-US"/>
        </w:rPr>
        <w:t>www.</w:t>
      </w:r>
      <w:r w:rsidRPr="00263E67">
        <w:rPr>
          <w:rFonts w:ascii="Arial" w:hAnsi="Arial" w:cs="Arial"/>
          <w:b/>
          <w:sz w:val="14"/>
          <w:szCs w:val="18"/>
          <w:lang w:val="en-US"/>
        </w:rPr>
        <w:t xml:space="preserve"> </w:t>
      </w:r>
      <w:r w:rsidRPr="00263E67">
        <w:rPr>
          <w:rStyle w:val="Prompt"/>
          <w:rFonts w:ascii="Arial" w:hAnsi="Arial" w:cs="Arial"/>
          <w:b/>
          <w:sz w:val="18"/>
        </w:rPr>
        <w:t>fosamaxclassaction.ca</w:t>
      </w:r>
    </w:p>
    <w:p w:rsidR="00DC1E38" w:rsidRPr="003D111D" w:rsidRDefault="00DC1E38" w:rsidP="00DC1E38">
      <w:pPr>
        <w:spacing w:after="200"/>
        <w:rPr>
          <w:rFonts w:ascii="Arial Narrow" w:hAnsi="Arial Narrow" w:cs="Arial"/>
          <w:sz w:val="20"/>
          <w:szCs w:val="20"/>
          <w:lang w:val="en-US"/>
        </w:rPr>
      </w:pPr>
      <w:r w:rsidRPr="003D111D">
        <w:rPr>
          <w:rFonts w:ascii="Arial Narrow" w:hAnsi="Arial Narrow" w:cs="Arial"/>
          <w:sz w:val="18"/>
          <w:szCs w:val="18"/>
          <w:lang w:val="en-US"/>
        </w:rPr>
        <w:lastRenderedPageBreak/>
        <w:t xml:space="preserve">If approval is granted by all courts, and the Settlement Agreement is not terminated, a further notice will be published advising of the claims deadline.  A detailed instruction package on how to file a claim will be made available at </w:t>
      </w:r>
      <w:r>
        <w:rPr>
          <w:rFonts w:ascii="Arial Narrow" w:hAnsi="Arial Narrow"/>
          <w:color w:val="0000FF"/>
          <w:sz w:val="18"/>
          <w:szCs w:val="18"/>
          <w:u w:val="single"/>
          <w:lang w:val="en-US"/>
        </w:rPr>
        <w:t>www.mckenzielake.com</w:t>
      </w:r>
      <w:r w:rsidRPr="003D111D">
        <w:rPr>
          <w:rFonts w:ascii="Arial Narrow" w:hAnsi="Arial Narrow"/>
          <w:sz w:val="18"/>
          <w:szCs w:val="18"/>
          <w:lang w:val="en-US"/>
        </w:rPr>
        <w:t xml:space="preserve"> or from the Administrator.</w:t>
      </w:r>
    </w:p>
    <w:p w:rsidR="00DC1E38" w:rsidRPr="003D111D" w:rsidRDefault="00DC1E38" w:rsidP="00DC1E38">
      <w:pPr>
        <w:spacing w:after="200"/>
        <w:rPr>
          <w:rFonts w:ascii="Arial Narrow" w:hAnsi="Arial Narrow"/>
          <w:b/>
          <w:sz w:val="18"/>
          <w:szCs w:val="18"/>
          <w:lang w:val="en-US"/>
        </w:rPr>
      </w:pPr>
      <w:r w:rsidRPr="003D111D">
        <w:rPr>
          <w:rFonts w:ascii="Arial Narrow" w:hAnsi="Arial Narrow"/>
          <w:sz w:val="18"/>
          <w:szCs w:val="18"/>
          <w:lang w:val="en-US"/>
        </w:rPr>
        <w:t xml:space="preserve">Questions for Class Counsel should be directed by email or telephone to: </w:t>
      </w:r>
      <w:r>
        <w:rPr>
          <w:rFonts w:ascii="Arial Narrow" w:hAnsi="Arial Narrow"/>
          <w:b/>
          <w:sz w:val="18"/>
          <w:szCs w:val="18"/>
          <w:lang w:val="en-US"/>
        </w:rPr>
        <w:t xml:space="preserve">fosamax@mckenzielake.com; 1 (844) 672-5666  </w:t>
      </w:r>
    </w:p>
    <w:p w:rsidR="00DC1E38" w:rsidRPr="003D111D" w:rsidRDefault="00DC1E38" w:rsidP="00DC1E38">
      <w:pPr>
        <w:rPr>
          <w:rFonts w:ascii="Arial Narrow" w:hAnsi="Arial Narrow"/>
          <w:sz w:val="18"/>
          <w:szCs w:val="18"/>
          <w:lang w:val="en-US"/>
        </w:rPr>
      </w:pPr>
      <w:r w:rsidRPr="003D111D">
        <w:rPr>
          <w:rFonts w:ascii="Arial Narrow" w:hAnsi="Arial Narrow"/>
          <w:sz w:val="18"/>
          <w:szCs w:val="18"/>
          <w:lang w:val="en-US"/>
        </w:rPr>
        <w:t>This notice contains a summary of some of the terms of the Settlement Agreement. If there is a conflict between this notice and the Settlement Agreement, the terms of the Settlement Agreement shall prevail.</w:t>
      </w:r>
    </w:p>
    <w:p w:rsidR="00DC1E38" w:rsidRDefault="00DC1E38" w:rsidP="00DC1E38">
      <w:pPr>
        <w:jc w:val="center"/>
        <w:rPr>
          <w:rFonts w:ascii="Arial Narrow" w:hAnsi="Arial Narrow"/>
          <w:b/>
          <w:sz w:val="16"/>
          <w:szCs w:val="18"/>
          <w:lang w:val="en-US"/>
        </w:rPr>
      </w:pPr>
      <w:r w:rsidRPr="00E878DA">
        <w:rPr>
          <w:rFonts w:ascii="Arial Narrow" w:hAnsi="Arial Narrow"/>
          <w:b/>
          <w:sz w:val="16"/>
          <w:szCs w:val="18"/>
          <w:lang w:val="en-US"/>
        </w:rPr>
        <w:t>This notice has been authorized by the</w:t>
      </w:r>
      <w:r w:rsidRPr="00E878DA">
        <w:rPr>
          <w:b/>
          <w:sz w:val="22"/>
          <w:lang w:val="en-US"/>
        </w:rPr>
        <w:t xml:space="preserve"> </w:t>
      </w:r>
      <w:r w:rsidRPr="00E878DA">
        <w:rPr>
          <w:rFonts w:ascii="Arial Narrow" w:hAnsi="Arial Narrow"/>
          <w:b/>
          <w:sz w:val="16"/>
          <w:szCs w:val="18"/>
          <w:lang w:val="en-US"/>
        </w:rPr>
        <w:t>Ontario Superior Court of Justice, the Québec Superior Court, the Court of Queen’s Bench for Saskatchewan, the Court of Queen’s Bench for Alberta and the British Columbia Supreme Court.</w:t>
      </w:r>
    </w:p>
    <w:p w:rsidR="00DC1E38" w:rsidRPr="00326CAD" w:rsidRDefault="00DC1E38" w:rsidP="00D566D6"/>
    <w:sectPr w:rsidR="00DC1E38" w:rsidRPr="00326CAD" w:rsidSect="00A72ACB">
      <w:headerReference w:type="default" r:id="rId8"/>
      <w:footerReference w:type="default" r:id="rId9"/>
      <w:headerReference w:type="first" r:id="rId10"/>
      <w:footerReference w:type="first" r:id="rId11"/>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38" w:rsidRDefault="00DC1E38">
      <w:r>
        <w:separator/>
      </w:r>
    </w:p>
  </w:endnote>
  <w:endnote w:type="continuationSeparator" w:id="0">
    <w:p w:rsidR="00DC1E38" w:rsidRDefault="00DC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0" w:rsidRDefault="003438D0">
    <w:pPr>
      <w:pStyle w:val="Footer"/>
    </w:pPr>
    <w:r>
      <w:rPr>
        <w:noProof/>
        <w:sz w:val="20"/>
        <w:lang w:eastAsia="en-CA"/>
      </w:rPr>
      <mc:AlternateContent>
        <mc:Choice Requires="wps">
          <w:drawing>
            <wp:anchor distT="0" distB="0" distL="114300" distR="114300" simplePos="0" relativeHeight="251659264" behindDoc="0" locked="1" layoutInCell="0" allowOverlap="1">
              <wp:simplePos x="0" y="0"/>
              <wp:positionH relativeFrom="page">
                <wp:posOffset>914400</wp:posOffset>
              </wp:positionH>
              <wp:positionV relativeFrom="page">
                <wp:align>bottom</wp:align>
              </wp:positionV>
              <wp:extent cx="5943600" cy="804672"/>
              <wp:effectExtent l="0" t="0" r="0" b="14605"/>
              <wp:wrapNone/>
              <wp:docPr id="9" name="DocsID_PF425065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4672"/>
                      </a:xfrm>
                      <a:prstGeom prst="rect">
                        <a:avLst/>
                      </a:prstGeom>
                      <a:noFill/>
                      <a:ln>
                        <a:noFill/>
                      </a:ln>
                      <a:extLst/>
                    </wps:spPr>
                    <wps:txbx>
                      <w:txbxContent>
                        <w:p w:rsidR="003438D0" w:rsidRDefault="003438D0">
                          <w:pPr>
                            <w:pStyle w:val="DocsID"/>
                          </w:pPr>
                          <w:r>
                            <w:fldChar w:fldCharType="begin"/>
                          </w:r>
                          <w:r>
                            <w:instrText xml:space="preserve"> DOCPROPERTY "DocsID"  \* MERGEFORMAT </w:instrTex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sID_PF4250653321" o:spid="_x0000_s1026" type="#_x0000_t202" style="position:absolute;left:0;text-align:left;margin-left:1in;margin-top:0;width:468pt;height:63.3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" o:allowincell="f" filled="f" stroked="f">
              <v:textbox inset="0,0,0,0">
                <w:txbxContent>
                  <w:p w:rsidR="003438D0" w:rsidRDefault="003438D0">
                    <w:pPr>
                      <w:pStyle w:val="DocsID"/>
                    </w:pPr>
                    <w:r>
                      <w:fldChar w:fldCharType="begin"/>
                    </w:r>
                    <w:r>
                      <w:instrText xml:space="preserve"> DOCPROPERTY "DocsID"  \* MERGEFORMAT </w:instrText>
                    </w:r>
                    <w:r>
                      <w:fldChar w:fldCharType="end"/>
                    </w:r>
                  </w:p>
                </w:txbxContent>
              </v:textbox>
              <w10:wrap anchorx="page" anchory="page"/>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0" w:rsidRDefault="003438D0">
    <w:pPr>
      <w:pStyle w:val="Footer"/>
    </w:pPr>
    <w:r>
      <w:rPr>
        <w:noProof/>
        <w:sz w:val="20"/>
        <w:lang w:eastAsia="en-CA"/>
      </w:rPr>
      <mc:AlternateContent>
        <mc:Choice Requires="wps">
          <w:drawing>
            <wp:anchor distT="0" distB="0" distL="114300" distR="114300" simplePos="0" relativeHeight="251661312" behindDoc="0" locked="1" layoutInCell="0" allowOverlap="1">
              <wp:simplePos x="0" y="0"/>
              <wp:positionH relativeFrom="page">
                <wp:posOffset>914400</wp:posOffset>
              </wp:positionH>
              <wp:positionV relativeFrom="page">
                <wp:align>bottom</wp:align>
              </wp:positionV>
              <wp:extent cx="5943600" cy="804672"/>
              <wp:effectExtent l="0" t="0" r="0" b="14605"/>
              <wp:wrapNone/>
              <wp:docPr id="1" name="DocsID_FF425065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4672"/>
                      </a:xfrm>
                      <a:prstGeom prst="rect">
                        <a:avLst/>
                      </a:prstGeom>
                      <a:noFill/>
                      <a:ln>
                        <a:noFill/>
                      </a:ln>
                      <a:extLst/>
                    </wps:spPr>
                    <wps:txbx>
                      <w:txbxContent>
                        <w:p w:rsidR="003438D0" w:rsidRDefault="003438D0">
                          <w:pPr>
                            <w:pStyle w:val="DocsID"/>
                          </w:pPr>
                          <w:r>
                            <w:fldChar w:fldCharType="begin"/>
                          </w:r>
                          <w:r>
                            <w:instrText xml:space="preserve"> DOCPROPERTY "DocsID"  \* MERGEFORMAT </w:instrTex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sID_FF4250653321" o:spid="_x0000_s1027" type="#_x0000_t202" style="position:absolute;left:0;text-align:left;margin-left:1in;margin-top:0;width:468pt;height:63.3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" o:allowincell="f" filled="f" stroked="f">
              <v:textbox inset="0,0,0,0">
                <w:txbxContent>
                  <w:p w:rsidR="003438D0" w:rsidRDefault="003438D0">
                    <w:pPr>
                      <w:pStyle w:val="DocsID"/>
                    </w:pPr>
                    <w:r>
                      <w:fldChar w:fldCharType="begin"/>
                    </w:r>
                    <w:r>
                      <w:instrText xml:space="preserve"> DOCPROPERTY "DocsID"  \* MERGEFORMAT </w:instrText>
                    </w:r>
                    <w:r>
                      <w:fldChar w:fldCharType="end"/>
                    </w:r>
                  </w:p>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38" w:rsidRDefault="00DC1E38">
      <w:r>
        <w:separator/>
      </w:r>
    </w:p>
  </w:footnote>
  <w:footnote w:type="continuationSeparator" w:id="0">
    <w:p w:rsidR="00DC1E38" w:rsidRDefault="00DC1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0" w:rsidRDefault="003438D0">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D0" w:rsidRDefault="003438D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7041AA0"/>
    <w:lvl w:ilvl="0">
      <w:start w:val="1"/>
      <w:numFmt w:val="decimal"/>
      <w:lvlText w:val="%1."/>
      <w:lvlJc w:val="left"/>
      <w:pPr>
        <w:tabs>
          <w:tab w:val="num" w:pos="360"/>
        </w:tabs>
        <w:ind w:left="360" w:hanging="360"/>
      </w:pPr>
    </w:lvl>
  </w:abstractNum>
  <w:abstractNum w:abstractNumId="1">
    <w:nsid w:val="197F6593"/>
    <w:multiLevelType w:val="hybridMultilevel"/>
    <w:tmpl w:val="FEB02C7A"/>
    <w:lvl w:ilvl="0" w:tplc="13643682">
      <w:start w:val="1"/>
      <w:numFmt w:val="bullet"/>
      <w:lvlText w:val=""/>
      <w:lvlJc w:val="left"/>
      <w:pPr>
        <w:tabs>
          <w:tab w:val="num" w:pos="720"/>
        </w:tabs>
        <w:ind w:left="720" w:hanging="360"/>
      </w:pPr>
      <w:rPr>
        <w:rFonts w:ascii="Symbol" w:hAnsi="Symbol" w:hint="default"/>
      </w:rPr>
    </w:lvl>
    <w:lvl w:ilvl="1" w:tplc="A4DC3504" w:tentative="1">
      <w:start w:val="1"/>
      <w:numFmt w:val="bullet"/>
      <w:lvlText w:val="o"/>
      <w:lvlJc w:val="left"/>
      <w:pPr>
        <w:tabs>
          <w:tab w:val="num" w:pos="1440"/>
        </w:tabs>
        <w:ind w:left="1440" w:hanging="360"/>
      </w:pPr>
      <w:rPr>
        <w:rFonts w:ascii="Courier New" w:hAnsi="Courier New" w:hint="default"/>
      </w:rPr>
    </w:lvl>
    <w:lvl w:ilvl="2" w:tplc="648EF6EE" w:tentative="1">
      <w:start w:val="1"/>
      <w:numFmt w:val="bullet"/>
      <w:lvlText w:val=""/>
      <w:lvlJc w:val="left"/>
      <w:pPr>
        <w:tabs>
          <w:tab w:val="num" w:pos="2160"/>
        </w:tabs>
        <w:ind w:left="2160" w:hanging="360"/>
      </w:pPr>
      <w:rPr>
        <w:rFonts w:ascii="Wingdings" w:hAnsi="Wingdings" w:hint="default"/>
      </w:rPr>
    </w:lvl>
    <w:lvl w:ilvl="3" w:tplc="8B26CC30" w:tentative="1">
      <w:start w:val="1"/>
      <w:numFmt w:val="bullet"/>
      <w:lvlText w:val=""/>
      <w:lvlJc w:val="left"/>
      <w:pPr>
        <w:tabs>
          <w:tab w:val="num" w:pos="2880"/>
        </w:tabs>
        <w:ind w:left="2880" w:hanging="360"/>
      </w:pPr>
      <w:rPr>
        <w:rFonts w:ascii="Symbol" w:hAnsi="Symbol" w:hint="default"/>
      </w:rPr>
    </w:lvl>
    <w:lvl w:ilvl="4" w:tplc="E586F6EE" w:tentative="1">
      <w:start w:val="1"/>
      <w:numFmt w:val="bullet"/>
      <w:lvlText w:val="o"/>
      <w:lvlJc w:val="left"/>
      <w:pPr>
        <w:tabs>
          <w:tab w:val="num" w:pos="3600"/>
        </w:tabs>
        <w:ind w:left="3600" w:hanging="360"/>
      </w:pPr>
      <w:rPr>
        <w:rFonts w:ascii="Courier New" w:hAnsi="Courier New" w:hint="default"/>
      </w:rPr>
    </w:lvl>
    <w:lvl w:ilvl="5" w:tplc="8DE86A2A" w:tentative="1">
      <w:start w:val="1"/>
      <w:numFmt w:val="bullet"/>
      <w:lvlText w:val=""/>
      <w:lvlJc w:val="left"/>
      <w:pPr>
        <w:tabs>
          <w:tab w:val="num" w:pos="4320"/>
        </w:tabs>
        <w:ind w:left="4320" w:hanging="360"/>
      </w:pPr>
      <w:rPr>
        <w:rFonts w:ascii="Wingdings" w:hAnsi="Wingdings" w:hint="default"/>
      </w:rPr>
    </w:lvl>
    <w:lvl w:ilvl="6" w:tplc="23C248D4" w:tentative="1">
      <w:start w:val="1"/>
      <w:numFmt w:val="bullet"/>
      <w:lvlText w:val=""/>
      <w:lvlJc w:val="left"/>
      <w:pPr>
        <w:tabs>
          <w:tab w:val="num" w:pos="5040"/>
        </w:tabs>
        <w:ind w:left="5040" w:hanging="360"/>
      </w:pPr>
      <w:rPr>
        <w:rFonts w:ascii="Symbol" w:hAnsi="Symbol" w:hint="default"/>
      </w:rPr>
    </w:lvl>
    <w:lvl w:ilvl="7" w:tplc="5404A676" w:tentative="1">
      <w:start w:val="1"/>
      <w:numFmt w:val="bullet"/>
      <w:lvlText w:val="o"/>
      <w:lvlJc w:val="left"/>
      <w:pPr>
        <w:tabs>
          <w:tab w:val="num" w:pos="5760"/>
        </w:tabs>
        <w:ind w:left="5760" w:hanging="360"/>
      </w:pPr>
      <w:rPr>
        <w:rFonts w:ascii="Courier New" w:hAnsi="Courier New" w:hint="default"/>
      </w:rPr>
    </w:lvl>
    <w:lvl w:ilvl="8" w:tplc="75909FFC" w:tentative="1">
      <w:start w:val="1"/>
      <w:numFmt w:val="bullet"/>
      <w:lvlText w:val=""/>
      <w:lvlJc w:val="left"/>
      <w:pPr>
        <w:tabs>
          <w:tab w:val="num" w:pos="6480"/>
        </w:tabs>
        <w:ind w:left="6480" w:hanging="360"/>
      </w:pPr>
      <w:rPr>
        <w:rFonts w:ascii="Wingdings" w:hAnsi="Wingdings" w:hint="default"/>
      </w:rPr>
    </w:lvl>
  </w:abstractNum>
  <w:abstractNum w:abstractNumId="2">
    <w:nsid w:val="74CD2789"/>
    <w:multiLevelType w:val="singleLevel"/>
    <w:tmpl w:val="85300994"/>
    <w:name w:val="Bullet"/>
    <w:lvl w:ilvl="0">
      <w:start w:val="1"/>
      <w:numFmt w:val="bullet"/>
      <w:lvlText w:val=""/>
      <w:lvlJc w:val="left"/>
      <w:pPr>
        <w:tabs>
          <w:tab w:val="num" w:pos="720"/>
        </w:tabs>
        <w:ind w:left="720" w:hanging="720"/>
      </w:pPr>
      <w:rPr>
        <w:rFonts w:ascii="Symbol" w:hAnsi="Symbol" w:hint="default"/>
        <w:b w:val="0"/>
        <w:i w:val="0"/>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DC1E38"/>
    <w:rsid w:val="000032C7"/>
    <w:rsid w:val="000819D2"/>
    <w:rsid w:val="000C5DAC"/>
    <w:rsid w:val="001F2DEB"/>
    <w:rsid w:val="00315ED7"/>
    <w:rsid w:val="00326CAD"/>
    <w:rsid w:val="003438D0"/>
    <w:rsid w:val="00436448"/>
    <w:rsid w:val="00520F1C"/>
    <w:rsid w:val="00582498"/>
    <w:rsid w:val="00665190"/>
    <w:rsid w:val="007D389B"/>
    <w:rsid w:val="008971AE"/>
    <w:rsid w:val="009538B1"/>
    <w:rsid w:val="00A0183C"/>
    <w:rsid w:val="00A52FD0"/>
    <w:rsid w:val="00A65089"/>
    <w:rsid w:val="00A72ACB"/>
    <w:rsid w:val="00A80BA4"/>
    <w:rsid w:val="00B82C55"/>
    <w:rsid w:val="00BA0FB3"/>
    <w:rsid w:val="00BD392A"/>
    <w:rsid w:val="00BD4031"/>
    <w:rsid w:val="00C046E0"/>
    <w:rsid w:val="00C2533A"/>
    <w:rsid w:val="00C71A52"/>
    <w:rsid w:val="00D566D6"/>
    <w:rsid w:val="00DC1E38"/>
    <w:rsid w:val="00EB2848"/>
    <w:rsid w:val="00EE542C"/>
    <w:rsid w:val="00F34A2F"/>
    <w:rsid w:val="00F40C66"/>
    <w:rsid w:val="00F9164C"/>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BA4"/>
    <w:pPr>
      <w:spacing w:after="240"/>
      <w:jc w:val="both"/>
    </w:pPr>
    <w:rPr>
      <w:sz w:val="24"/>
      <w:szCs w:val="24"/>
      <w:lang w:eastAsia="en-US"/>
    </w:rPr>
  </w:style>
  <w:style w:type="paragraph" w:styleId="Heading1">
    <w:name w:val="heading 1"/>
    <w:basedOn w:val="Heading10"/>
    <w:next w:val="Normal"/>
    <w:semiHidden/>
    <w:rsid w:val="00BA0FB3"/>
    <w:rPr>
      <w:rFonts w:cs="Arial"/>
      <w:b w:val="0"/>
      <w:bCs/>
    </w:rPr>
  </w:style>
  <w:style w:type="paragraph" w:styleId="Heading2">
    <w:name w:val="heading 2"/>
    <w:basedOn w:val="Heading20"/>
    <w:next w:val="Normal"/>
    <w:semiHidden/>
    <w:qFormat/>
    <w:rsid w:val="00BA0FB3"/>
    <w:rPr>
      <w:rFonts w:cs="Arial"/>
      <w:b w:val="0"/>
      <w:bCs/>
      <w:iCs/>
      <w:szCs w:val="28"/>
    </w:rPr>
  </w:style>
  <w:style w:type="paragraph" w:styleId="Heading3">
    <w:name w:val="heading 3"/>
    <w:basedOn w:val="Heading30"/>
    <w:next w:val="Normal"/>
    <w:semiHidden/>
    <w:qFormat/>
    <w:rsid w:val="00BA0FB3"/>
    <w:rPr>
      <w:rFonts w:cs="Arial"/>
      <w:b w:val="0"/>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0FB3"/>
    <w:rPr>
      <w:rFonts w:ascii="Tahoma" w:hAnsi="Tahoma"/>
      <w:sz w:val="16"/>
      <w:szCs w:val="16"/>
    </w:rPr>
  </w:style>
  <w:style w:type="paragraph" w:customStyle="1" w:styleId="Block">
    <w:name w:val="Block"/>
    <w:aliases w:val="B"/>
    <w:basedOn w:val="Normal"/>
    <w:rsid w:val="00BA0FB3"/>
    <w:pPr>
      <w:ind w:left="720" w:right="720"/>
    </w:pPr>
    <w:rPr>
      <w:szCs w:val="20"/>
    </w:rPr>
  </w:style>
  <w:style w:type="paragraph" w:customStyle="1" w:styleId="Block1">
    <w:name w:val="Block1"/>
    <w:aliases w:val="B1"/>
    <w:basedOn w:val="Block"/>
    <w:rsid w:val="00BA0FB3"/>
    <w:pPr>
      <w:ind w:left="1440" w:right="1440"/>
    </w:pPr>
  </w:style>
  <w:style w:type="paragraph" w:customStyle="1" w:styleId="Block2">
    <w:name w:val="Block2"/>
    <w:aliases w:val="B2"/>
    <w:basedOn w:val="Block"/>
    <w:rsid w:val="00BA0FB3"/>
    <w:pPr>
      <w:ind w:left="2160" w:right="2160"/>
    </w:pPr>
  </w:style>
  <w:style w:type="paragraph" w:customStyle="1" w:styleId="Block3">
    <w:name w:val="Block3"/>
    <w:aliases w:val="B3"/>
    <w:basedOn w:val="Block"/>
    <w:rsid w:val="00BA0FB3"/>
    <w:pPr>
      <w:ind w:left="2880" w:right="2880"/>
    </w:pPr>
  </w:style>
  <w:style w:type="paragraph" w:customStyle="1" w:styleId="Centre">
    <w:name w:val="Centre"/>
    <w:aliases w:val="C"/>
    <w:basedOn w:val="Normal"/>
    <w:rsid w:val="00BA0FB3"/>
    <w:pPr>
      <w:jc w:val="center"/>
    </w:pPr>
    <w:rPr>
      <w:b/>
      <w:szCs w:val="20"/>
    </w:rPr>
  </w:style>
  <w:style w:type="paragraph" w:customStyle="1" w:styleId="NormalSingle">
    <w:name w:val="Normal Single"/>
    <w:rsid w:val="00665190"/>
    <w:pPr>
      <w:spacing w:after="240"/>
      <w:jc w:val="both"/>
    </w:pPr>
    <w:rPr>
      <w:sz w:val="24"/>
      <w:lang w:eastAsia="en-US"/>
    </w:rPr>
  </w:style>
  <w:style w:type="paragraph" w:styleId="Footer">
    <w:name w:val="footer"/>
    <w:basedOn w:val="NormalSingle"/>
    <w:rsid w:val="00EE542C"/>
    <w:pPr>
      <w:tabs>
        <w:tab w:val="center" w:pos="4680"/>
        <w:tab w:val="right" w:pos="9360"/>
      </w:tabs>
      <w:spacing w:after="0"/>
      <w:jc w:val="center"/>
    </w:pPr>
    <w:rPr>
      <w:rFonts w:ascii="Arial" w:hAnsi="Arial"/>
      <w:sz w:val="15"/>
    </w:rPr>
  </w:style>
  <w:style w:type="character" w:styleId="FootnoteReference">
    <w:name w:val="footnote reference"/>
    <w:basedOn w:val="DefaultParagraphFont"/>
    <w:semiHidden/>
    <w:rsid w:val="00BA0FB3"/>
    <w:rPr>
      <w:vertAlign w:val="superscript"/>
    </w:rPr>
  </w:style>
  <w:style w:type="paragraph" w:styleId="FootnoteText">
    <w:name w:val="footnote text"/>
    <w:basedOn w:val="PlainSingle"/>
    <w:semiHidden/>
    <w:rsid w:val="00BA0FB3"/>
    <w:pPr>
      <w:ind w:left="720" w:hanging="720"/>
    </w:pPr>
    <w:rPr>
      <w:sz w:val="20"/>
    </w:rPr>
  </w:style>
  <w:style w:type="paragraph" w:customStyle="1" w:styleId="Hanging">
    <w:name w:val="Hanging"/>
    <w:aliases w:val="H"/>
    <w:basedOn w:val="Normal"/>
    <w:rsid w:val="00BA0FB3"/>
    <w:pPr>
      <w:ind w:left="720" w:hanging="720"/>
    </w:pPr>
    <w:rPr>
      <w:szCs w:val="20"/>
    </w:rPr>
  </w:style>
  <w:style w:type="paragraph" w:styleId="Header">
    <w:name w:val="header"/>
    <w:basedOn w:val="NormalSingle"/>
    <w:rsid w:val="00BA0FB3"/>
    <w:pPr>
      <w:tabs>
        <w:tab w:val="center" w:pos="4680"/>
        <w:tab w:val="right" w:pos="9360"/>
      </w:tabs>
    </w:pPr>
  </w:style>
  <w:style w:type="paragraph" w:customStyle="1" w:styleId="Heading10">
    <w:name w:val="Heading1"/>
    <w:aliases w:val="H1"/>
    <w:basedOn w:val="NormalSingle"/>
    <w:next w:val="Normal"/>
    <w:rsid w:val="00BA0FB3"/>
    <w:pPr>
      <w:keepNext/>
      <w:spacing w:before="120" w:after="120"/>
      <w:outlineLvl w:val="0"/>
    </w:pPr>
    <w:rPr>
      <w:b/>
      <w:szCs w:val="24"/>
    </w:rPr>
  </w:style>
  <w:style w:type="paragraph" w:customStyle="1" w:styleId="Heading1Centre">
    <w:name w:val="Heading1Centre"/>
    <w:aliases w:val="H1C"/>
    <w:basedOn w:val="Heading10"/>
    <w:next w:val="Normal"/>
    <w:rsid w:val="00BA0FB3"/>
    <w:pPr>
      <w:spacing w:after="480"/>
      <w:jc w:val="center"/>
      <w:outlineLvl w:val="9"/>
    </w:pPr>
    <w:rPr>
      <w:sz w:val="28"/>
      <w:szCs w:val="28"/>
    </w:rPr>
  </w:style>
  <w:style w:type="paragraph" w:customStyle="1" w:styleId="Heading20">
    <w:name w:val="Heading2"/>
    <w:aliases w:val="H2"/>
    <w:basedOn w:val="NormalSingle"/>
    <w:next w:val="Normal"/>
    <w:rsid w:val="00BA0FB3"/>
    <w:pPr>
      <w:keepNext/>
      <w:spacing w:before="120" w:after="120"/>
      <w:outlineLvl w:val="1"/>
    </w:pPr>
    <w:rPr>
      <w:b/>
    </w:rPr>
  </w:style>
  <w:style w:type="paragraph" w:customStyle="1" w:styleId="Heading2NoToc">
    <w:name w:val="Heading2NoToc"/>
    <w:aliases w:val="H2NT"/>
    <w:basedOn w:val="Heading20"/>
    <w:next w:val="Normal"/>
    <w:rsid w:val="00BA0FB3"/>
    <w:pPr>
      <w:outlineLvl w:val="9"/>
    </w:pPr>
  </w:style>
  <w:style w:type="paragraph" w:customStyle="1" w:styleId="Heading30">
    <w:name w:val="Heading3"/>
    <w:aliases w:val="H3"/>
    <w:basedOn w:val="NormalSingle"/>
    <w:next w:val="Normal"/>
    <w:rsid w:val="00BA0FB3"/>
    <w:pPr>
      <w:keepNext/>
      <w:spacing w:before="120" w:after="120"/>
      <w:outlineLvl w:val="2"/>
    </w:pPr>
    <w:rPr>
      <w:b/>
    </w:rPr>
  </w:style>
  <w:style w:type="paragraph" w:customStyle="1" w:styleId="Indent">
    <w:name w:val="Indent"/>
    <w:aliases w:val="In"/>
    <w:basedOn w:val="Normal"/>
    <w:rsid w:val="00BA0FB3"/>
    <w:pPr>
      <w:ind w:left="720"/>
    </w:pPr>
    <w:rPr>
      <w:szCs w:val="20"/>
    </w:rPr>
  </w:style>
  <w:style w:type="paragraph" w:customStyle="1" w:styleId="Indent1">
    <w:name w:val="Indent1"/>
    <w:aliases w:val="I1"/>
    <w:basedOn w:val="Indent"/>
    <w:rsid w:val="00BA0FB3"/>
    <w:pPr>
      <w:ind w:left="1440"/>
    </w:pPr>
  </w:style>
  <w:style w:type="paragraph" w:customStyle="1" w:styleId="Indent2">
    <w:name w:val="Indent2"/>
    <w:aliases w:val="I2"/>
    <w:basedOn w:val="Indent"/>
    <w:rsid w:val="00BA0FB3"/>
    <w:pPr>
      <w:ind w:left="2160"/>
    </w:pPr>
  </w:style>
  <w:style w:type="paragraph" w:customStyle="1" w:styleId="Indent3">
    <w:name w:val="Indent3"/>
    <w:aliases w:val="I3"/>
    <w:basedOn w:val="Indent"/>
    <w:rsid w:val="00BA0FB3"/>
    <w:pPr>
      <w:ind w:left="2880"/>
    </w:pPr>
  </w:style>
  <w:style w:type="paragraph" w:customStyle="1" w:styleId="Left">
    <w:name w:val="Left"/>
    <w:aliases w:val="L"/>
    <w:basedOn w:val="Normal"/>
    <w:rsid w:val="00D566D6"/>
    <w:pPr>
      <w:jc w:val="left"/>
    </w:pPr>
    <w:rPr>
      <w:szCs w:val="20"/>
    </w:rPr>
  </w:style>
  <w:style w:type="character" w:styleId="PageNumber">
    <w:name w:val="page number"/>
    <w:basedOn w:val="DefaultParagraphFont"/>
    <w:rsid w:val="00BA0FB3"/>
    <w:rPr>
      <w:sz w:val="24"/>
      <w:szCs w:val="24"/>
    </w:rPr>
  </w:style>
  <w:style w:type="paragraph" w:customStyle="1" w:styleId="PlainSingle">
    <w:name w:val="Plain Single"/>
    <w:basedOn w:val="NormalSingle"/>
    <w:rsid w:val="00BA0FB3"/>
    <w:pPr>
      <w:spacing w:after="0"/>
    </w:pPr>
  </w:style>
  <w:style w:type="paragraph" w:customStyle="1" w:styleId="Plain">
    <w:name w:val="Plain"/>
    <w:aliases w:val="P"/>
    <w:basedOn w:val="Normal"/>
    <w:rsid w:val="00BA0FB3"/>
    <w:pPr>
      <w:spacing w:after="0"/>
    </w:pPr>
    <w:rPr>
      <w:szCs w:val="20"/>
    </w:rPr>
  </w:style>
  <w:style w:type="character" w:customStyle="1" w:styleId="Prompt">
    <w:name w:val="Prompt"/>
    <w:rsid w:val="00BA0FB3"/>
    <w:rPr>
      <w:color w:val="0000FF"/>
    </w:rPr>
  </w:style>
  <w:style w:type="character" w:customStyle="1" w:styleId="Reference">
    <w:name w:val="Reference"/>
    <w:aliases w:val="Ref"/>
    <w:basedOn w:val="DefaultParagraphFont"/>
    <w:rsid w:val="00BA0FB3"/>
    <w:rPr>
      <w:b/>
      <w:sz w:val="16"/>
      <w:szCs w:val="16"/>
    </w:rPr>
  </w:style>
  <w:style w:type="paragraph" w:customStyle="1" w:styleId="Right">
    <w:name w:val="Right"/>
    <w:aliases w:val="R"/>
    <w:basedOn w:val="Normal"/>
    <w:rsid w:val="00BA0FB3"/>
    <w:pPr>
      <w:jc w:val="right"/>
    </w:pPr>
    <w:rPr>
      <w:szCs w:val="20"/>
    </w:rPr>
  </w:style>
  <w:style w:type="paragraph" w:customStyle="1" w:styleId="Tab">
    <w:name w:val="Tab"/>
    <w:aliases w:val="T"/>
    <w:basedOn w:val="Normal"/>
    <w:rsid w:val="00BA0FB3"/>
    <w:pPr>
      <w:ind w:firstLine="720"/>
    </w:pPr>
    <w:rPr>
      <w:szCs w:val="20"/>
    </w:rPr>
  </w:style>
  <w:style w:type="paragraph" w:customStyle="1" w:styleId="Tab1">
    <w:name w:val="Tab1"/>
    <w:aliases w:val="T1"/>
    <w:basedOn w:val="Tab"/>
    <w:rsid w:val="00BA0FB3"/>
    <w:pPr>
      <w:ind w:firstLine="1440"/>
    </w:pPr>
  </w:style>
  <w:style w:type="paragraph" w:customStyle="1" w:styleId="TableHeading">
    <w:name w:val="TableHeading"/>
    <w:aliases w:val="TH"/>
    <w:basedOn w:val="NormalSingle"/>
    <w:rsid w:val="00BA0FB3"/>
    <w:pPr>
      <w:keepNext/>
      <w:keepLines/>
      <w:spacing w:before="120" w:after="120"/>
      <w:jc w:val="center"/>
    </w:pPr>
    <w:rPr>
      <w:b/>
    </w:rPr>
  </w:style>
  <w:style w:type="paragraph" w:customStyle="1" w:styleId="TableText">
    <w:name w:val="TableText"/>
    <w:aliases w:val="TT"/>
    <w:basedOn w:val="Normal"/>
    <w:rsid w:val="00F9164C"/>
    <w:pPr>
      <w:spacing w:before="60" w:after="60"/>
    </w:pPr>
  </w:style>
  <w:style w:type="paragraph" w:styleId="TOC1">
    <w:name w:val="toc 1"/>
    <w:basedOn w:val="Normal"/>
    <w:next w:val="Normal"/>
    <w:semiHidden/>
    <w:rsid w:val="00BA0FB3"/>
    <w:pPr>
      <w:tabs>
        <w:tab w:val="left" w:pos="720"/>
        <w:tab w:val="right" w:leader="dot" w:pos="9360"/>
      </w:tabs>
    </w:pPr>
  </w:style>
  <w:style w:type="paragraph" w:styleId="TOC2">
    <w:name w:val="toc 2"/>
    <w:basedOn w:val="Normal"/>
    <w:next w:val="Normal"/>
    <w:semiHidden/>
    <w:rsid w:val="00BA0FB3"/>
    <w:pPr>
      <w:tabs>
        <w:tab w:val="left" w:pos="1440"/>
        <w:tab w:val="right" w:leader="dot" w:pos="9360"/>
      </w:tabs>
      <w:ind w:left="720"/>
    </w:pPr>
  </w:style>
  <w:style w:type="character" w:customStyle="1" w:styleId="Bold">
    <w:name w:val="Bold"/>
    <w:rsid w:val="00315ED7"/>
    <w:rPr>
      <w:b/>
    </w:rPr>
  </w:style>
  <w:style w:type="character" w:customStyle="1" w:styleId="Underline">
    <w:name w:val="Underline"/>
    <w:rsid w:val="00315ED7"/>
    <w:rPr>
      <w:u w:val="single"/>
    </w:rPr>
  </w:style>
  <w:style w:type="character" w:customStyle="1" w:styleId="Italic">
    <w:name w:val="Italic"/>
    <w:rsid w:val="00315ED7"/>
    <w:rPr>
      <w:i/>
    </w:rPr>
  </w:style>
  <w:style w:type="character" w:customStyle="1" w:styleId="BoldItalic">
    <w:name w:val="BoldItalic"/>
    <w:rsid w:val="00315ED7"/>
    <w:rPr>
      <w:b/>
      <w:i/>
    </w:rPr>
  </w:style>
  <w:style w:type="paragraph" w:customStyle="1" w:styleId="TableHeadingLeft">
    <w:name w:val="TableHeadingLeft"/>
    <w:aliases w:val="THL"/>
    <w:basedOn w:val="TableHeading"/>
    <w:rsid w:val="00F9164C"/>
    <w:pPr>
      <w:jc w:val="left"/>
    </w:pPr>
  </w:style>
  <w:style w:type="paragraph" w:customStyle="1" w:styleId="TableHeadingRight">
    <w:name w:val="TableHeadingRight"/>
    <w:aliases w:val="THR"/>
    <w:basedOn w:val="TableHeading"/>
    <w:rsid w:val="00F9164C"/>
    <w:pPr>
      <w:jc w:val="right"/>
    </w:pPr>
  </w:style>
  <w:style w:type="paragraph" w:customStyle="1" w:styleId="TableTextCenter">
    <w:name w:val="TableTextCenter"/>
    <w:aliases w:val="TTC"/>
    <w:basedOn w:val="TableText"/>
    <w:rsid w:val="00F9164C"/>
    <w:pPr>
      <w:jc w:val="center"/>
    </w:pPr>
  </w:style>
  <w:style w:type="paragraph" w:customStyle="1" w:styleId="TableTextRight">
    <w:name w:val="TableTextRight"/>
    <w:aliases w:val="TTR"/>
    <w:basedOn w:val="TableText"/>
    <w:rsid w:val="00F9164C"/>
    <w:pPr>
      <w:jc w:val="right"/>
    </w:pPr>
  </w:style>
  <w:style w:type="paragraph" w:customStyle="1" w:styleId="DocsID">
    <w:name w:val="DocsID"/>
    <w:basedOn w:val="NormalSingle"/>
    <w:rsid w:val="003438D0"/>
    <w:pPr>
      <w:spacing w:before="20" w:after="0"/>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BA4"/>
    <w:pPr>
      <w:spacing w:after="240"/>
      <w:jc w:val="both"/>
    </w:pPr>
    <w:rPr>
      <w:sz w:val="24"/>
      <w:szCs w:val="24"/>
      <w:lang w:eastAsia="en-US"/>
    </w:rPr>
  </w:style>
  <w:style w:type="paragraph" w:styleId="Heading1">
    <w:name w:val="heading 1"/>
    <w:basedOn w:val="Heading10"/>
    <w:next w:val="Normal"/>
    <w:semiHidden/>
    <w:rsid w:val="00BA0FB3"/>
    <w:rPr>
      <w:rFonts w:cs="Arial"/>
      <w:b w:val="0"/>
      <w:bCs/>
    </w:rPr>
  </w:style>
  <w:style w:type="paragraph" w:styleId="Heading2">
    <w:name w:val="heading 2"/>
    <w:basedOn w:val="Heading20"/>
    <w:next w:val="Normal"/>
    <w:semiHidden/>
    <w:qFormat/>
    <w:rsid w:val="00BA0FB3"/>
    <w:rPr>
      <w:rFonts w:cs="Arial"/>
      <w:b w:val="0"/>
      <w:bCs/>
      <w:iCs/>
      <w:szCs w:val="28"/>
    </w:rPr>
  </w:style>
  <w:style w:type="paragraph" w:styleId="Heading3">
    <w:name w:val="heading 3"/>
    <w:basedOn w:val="Heading30"/>
    <w:next w:val="Normal"/>
    <w:semiHidden/>
    <w:qFormat/>
    <w:rsid w:val="00BA0FB3"/>
    <w:rPr>
      <w:rFonts w:cs="Arial"/>
      <w:b w:val="0"/>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0FB3"/>
    <w:rPr>
      <w:rFonts w:ascii="Tahoma" w:hAnsi="Tahoma"/>
      <w:sz w:val="16"/>
      <w:szCs w:val="16"/>
    </w:rPr>
  </w:style>
  <w:style w:type="paragraph" w:customStyle="1" w:styleId="Block">
    <w:name w:val="Block"/>
    <w:aliases w:val="B"/>
    <w:basedOn w:val="Normal"/>
    <w:rsid w:val="00BA0FB3"/>
    <w:pPr>
      <w:ind w:left="720" w:right="720"/>
    </w:pPr>
    <w:rPr>
      <w:szCs w:val="20"/>
    </w:rPr>
  </w:style>
  <w:style w:type="paragraph" w:customStyle="1" w:styleId="Block1">
    <w:name w:val="Block1"/>
    <w:aliases w:val="B1"/>
    <w:basedOn w:val="Block"/>
    <w:rsid w:val="00BA0FB3"/>
    <w:pPr>
      <w:ind w:left="1440" w:right="1440"/>
    </w:pPr>
  </w:style>
  <w:style w:type="paragraph" w:customStyle="1" w:styleId="Block2">
    <w:name w:val="Block2"/>
    <w:aliases w:val="B2"/>
    <w:basedOn w:val="Block"/>
    <w:rsid w:val="00BA0FB3"/>
    <w:pPr>
      <w:ind w:left="2160" w:right="2160"/>
    </w:pPr>
  </w:style>
  <w:style w:type="paragraph" w:customStyle="1" w:styleId="Block3">
    <w:name w:val="Block3"/>
    <w:aliases w:val="B3"/>
    <w:basedOn w:val="Block"/>
    <w:rsid w:val="00BA0FB3"/>
    <w:pPr>
      <w:ind w:left="2880" w:right="2880"/>
    </w:pPr>
  </w:style>
  <w:style w:type="paragraph" w:customStyle="1" w:styleId="Centre">
    <w:name w:val="Centre"/>
    <w:aliases w:val="C"/>
    <w:basedOn w:val="Normal"/>
    <w:rsid w:val="00BA0FB3"/>
    <w:pPr>
      <w:jc w:val="center"/>
    </w:pPr>
    <w:rPr>
      <w:b/>
      <w:szCs w:val="20"/>
    </w:rPr>
  </w:style>
  <w:style w:type="paragraph" w:customStyle="1" w:styleId="NormalSingle">
    <w:name w:val="Normal Single"/>
    <w:rsid w:val="00665190"/>
    <w:pPr>
      <w:spacing w:after="240"/>
      <w:jc w:val="both"/>
    </w:pPr>
    <w:rPr>
      <w:sz w:val="24"/>
      <w:lang w:eastAsia="en-US"/>
    </w:rPr>
  </w:style>
  <w:style w:type="paragraph" w:styleId="Footer">
    <w:name w:val="footer"/>
    <w:basedOn w:val="NormalSingle"/>
    <w:rsid w:val="00EE542C"/>
    <w:pPr>
      <w:tabs>
        <w:tab w:val="center" w:pos="4680"/>
        <w:tab w:val="right" w:pos="9360"/>
      </w:tabs>
      <w:spacing w:after="0"/>
      <w:jc w:val="center"/>
    </w:pPr>
    <w:rPr>
      <w:rFonts w:ascii="Arial" w:hAnsi="Arial"/>
      <w:sz w:val="15"/>
    </w:rPr>
  </w:style>
  <w:style w:type="character" w:styleId="FootnoteReference">
    <w:name w:val="footnote reference"/>
    <w:basedOn w:val="DefaultParagraphFont"/>
    <w:semiHidden/>
    <w:rsid w:val="00BA0FB3"/>
    <w:rPr>
      <w:vertAlign w:val="superscript"/>
    </w:rPr>
  </w:style>
  <w:style w:type="paragraph" w:styleId="FootnoteText">
    <w:name w:val="footnote text"/>
    <w:basedOn w:val="PlainSingle"/>
    <w:semiHidden/>
    <w:rsid w:val="00BA0FB3"/>
    <w:pPr>
      <w:ind w:left="720" w:hanging="720"/>
    </w:pPr>
    <w:rPr>
      <w:sz w:val="20"/>
    </w:rPr>
  </w:style>
  <w:style w:type="paragraph" w:customStyle="1" w:styleId="Hanging">
    <w:name w:val="Hanging"/>
    <w:aliases w:val="H"/>
    <w:basedOn w:val="Normal"/>
    <w:rsid w:val="00BA0FB3"/>
    <w:pPr>
      <w:ind w:left="720" w:hanging="720"/>
    </w:pPr>
    <w:rPr>
      <w:szCs w:val="20"/>
    </w:rPr>
  </w:style>
  <w:style w:type="paragraph" w:styleId="Header">
    <w:name w:val="header"/>
    <w:basedOn w:val="NormalSingle"/>
    <w:rsid w:val="00BA0FB3"/>
    <w:pPr>
      <w:tabs>
        <w:tab w:val="center" w:pos="4680"/>
        <w:tab w:val="right" w:pos="9360"/>
      </w:tabs>
    </w:pPr>
  </w:style>
  <w:style w:type="paragraph" w:customStyle="1" w:styleId="Heading10">
    <w:name w:val="Heading1"/>
    <w:aliases w:val="H1"/>
    <w:basedOn w:val="NormalSingle"/>
    <w:next w:val="Normal"/>
    <w:rsid w:val="00BA0FB3"/>
    <w:pPr>
      <w:keepNext/>
      <w:spacing w:before="120" w:after="120"/>
      <w:outlineLvl w:val="0"/>
    </w:pPr>
    <w:rPr>
      <w:b/>
      <w:szCs w:val="24"/>
    </w:rPr>
  </w:style>
  <w:style w:type="paragraph" w:customStyle="1" w:styleId="Heading1Centre">
    <w:name w:val="Heading1Centre"/>
    <w:aliases w:val="H1C"/>
    <w:basedOn w:val="Heading10"/>
    <w:next w:val="Normal"/>
    <w:rsid w:val="00BA0FB3"/>
    <w:pPr>
      <w:spacing w:after="480"/>
      <w:jc w:val="center"/>
      <w:outlineLvl w:val="9"/>
    </w:pPr>
    <w:rPr>
      <w:sz w:val="28"/>
      <w:szCs w:val="28"/>
    </w:rPr>
  </w:style>
  <w:style w:type="paragraph" w:customStyle="1" w:styleId="Heading20">
    <w:name w:val="Heading2"/>
    <w:aliases w:val="H2"/>
    <w:basedOn w:val="NormalSingle"/>
    <w:next w:val="Normal"/>
    <w:rsid w:val="00BA0FB3"/>
    <w:pPr>
      <w:keepNext/>
      <w:spacing w:before="120" w:after="120"/>
      <w:outlineLvl w:val="1"/>
    </w:pPr>
    <w:rPr>
      <w:b/>
    </w:rPr>
  </w:style>
  <w:style w:type="paragraph" w:customStyle="1" w:styleId="Heading2NoToc">
    <w:name w:val="Heading2NoToc"/>
    <w:aliases w:val="H2NT"/>
    <w:basedOn w:val="Heading20"/>
    <w:next w:val="Normal"/>
    <w:rsid w:val="00BA0FB3"/>
    <w:pPr>
      <w:outlineLvl w:val="9"/>
    </w:pPr>
  </w:style>
  <w:style w:type="paragraph" w:customStyle="1" w:styleId="Heading30">
    <w:name w:val="Heading3"/>
    <w:aliases w:val="H3"/>
    <w:basedOn w:val="NormalSingle"/>
    <w:next w:val="Normal"/>
    <w:rsid w:val="00BA0FB3"/>
    <w:pPr>
      <w:keepNext/>
      <w:spacing w:before="120" w:after="120"/>
      <w:outlineLvl w:val="2"/>
    </w:pPr>
    <w:rPr>
      <w:b/>
    </w:rPr>
  </w:style>
  <w:style w:type="paragraph" w:customStyle="1" w:styleId="Indent">
    <w:name w:val="Indent"/>
    <w:aliases w:val="In"/>
    <w:basedOn w:val="Normal"/>
    <w:rsid w:val="00BA0FB3"/>
    <w:pPr>
      <w:ind w:left="720"/>
    </w:pPr>
    <w:rPr>
      <w:szCs w:val="20"/>
    </w:rPr>
  </w:style>
  <w:style w:type="paragraph" w:customStyle="1" w:styleId="Indent1">
    <w:name w:val="Indent1"/>
    <w:aliases w:val="I1"/>
    <w:basedOn w:val="Indent"/>
    <w:rsid w:val="00BA0FB3"/>
    <w:pPr>
      <w:ind w:left="1440"/>
    </w:pPr>
  </w:style>
  <w:style w:type="paragraph" w:customStyle="1" w:styleId="Indent2">
    <w:name w:val="Indent2"/>
    <w:aliases w:val="I2"/>
    <w:basedOn w:val="Indent"/>
    <w:rsid w:val="00BA0FB3"/>
    <w:pPr>
      <w:ind w:left="2160"/>
    </w:pPr>
  </w:style>
  <w:style w:type="paragraph" w:customStyle="1" w:styleId="Indent3">
    <w:name w:val="Indent3"/>
    <w:aliases w:val="I3"/>
    <w:basedOn w:val="Indent"/>
    <w:rsid w:val="00BA0FB3"/>
    <w:pPr>
      <w:ind w:left="2880"/>
    </w:pPr>
  </w:style>
  <w:style w:type="paragraph" w:customStyle="1" w:styleId="Left">
    <w:name w:val="Left"/>
    <w:aliases w:val="L"/>
    <w:basedOn w:val="Normal"/>
    <w:rsid w:val="00D566D6"/>
    <w:pPr>
      <w:jc w:val="left"/>
    </w:pPr>
    <w:rPr>
      <w:szCs w:val="20"/>
    </w:rPr>
  </w:style>
  <w:style w:type="character" w:styleId="PageNumber">
    <w:name w:val="page number"/>
    <w:basedOn w:val="DefaultParagraphFont"/>
    <w:rsid w:val="00BA0FB3"/>
    <w:rPr>
      <w:sz w:val="24"/>
      <w:szCs w:val="24"/>
    </w:rPr>
  </w:style>
  <w:style w:type="paragraph" w:customStyle="1" w:styleId="PlainSingle">
    <w:name w:val="Plain Single"/>
    <w:basedOn w:val="NormalSingle"/>
    <w:rsid w:val="00BA0FB3"/>
    <w:pPr>
      <w:spacing w:after="0"/>
    </w:pPr>
  </w:style>
  <w:style w:type="paragraph" w:customStyle="1" w:styleId="Plain">
    <w:name w:val="Plain"/>
    <w:aliases w:val="P"/>
    <w:basedOn w:val="Normal"/>
    <w:rsid w:val="00BA0FB3"/>
    <w:pPr>
      <w:spacing w:after="0"/>
    </w:pPr>
    <w:rPr>
      <w:szCs w:val="20"/>
    </w:rPr>
  </w:style>
  <w:style w:type="character" w:customStyle="1" w:styleId="Prompt">
    <w:name w:val="Prompt"/>
    <w:rsid w:val="00BA0FB3"/>
    <w:rPr>
      <w:color w:val="0000FF"/>
    </w:rPr>
  </w:style>
  <w:style w:type="character" w:customStyle="1" w:styleId="Reference">
    <w:name w:val="Reference"/>
    <w:aliases w:val="Ref"/>
    <w:basedOn w:val="DefaultParagraphFont"/>
    <w:rsid w:val="00BA0FB3"/>
    <w:rPr>
      <w:b/>
      <w:sz w:val="16"/>
      <w:szCs w:val="16"/>
    </w:rPr>
  </w:style>
  <w:style w:type="paragraph" w:customStyle="1" w:styleId="Right">
    <w:name w:val="Right"/>
    <w:aliases w:val="R"/>
    <w:basedOn w:val="Normal"/>
    <w:rsid w:val="00BA0FB3"/>
    <w:pPr>
      <w:jc w:val="right"/>
    </w:pPr>
    <w:rPr>
      <w:szCs w:val="20"/>
    </w:rPr>
  </w:style>
  <w:style w:type="paragraph" w:customStyle="1" w:styleId="Tab">
    <w:name w:val="Tab"/>
    <w:aliases w:val="T"/>
    <w:basedOn w:val="Normal"/>
    <w:rsid w:val="00BA0FB3"/>
    <w:pPr>
      <w:ind w:firstLine="720"/>
    </w:pPr>
    <w:rPr>
      <w:szCs w:val="20"/>
    </w:rPr>
  </w:style>
  <w:style w:type="paragraph" w:customStyle="1" w:styleId="Tab1">
    <w:name w:val="Tab1"/>
    <w:aliases w:val="T1"/>
    <w:basedOn w:val="Tab"/>
    <w:rsid w:val="00BA0FB3"/>
    <w:pPr>
      <w:ind w:firstLine="1440"/>
    </w:pPr>
  </w:style>
  <w:style w:type="paragraph" w:customStyle="1" w:styleId="TableHeading">
    <w:name w:val="TableHeading"/>
    <w:aliases w:val="TH"/>
    <w:basedOn w:val="NormalSingle"/>
    <w:rsid w:val="00BA0FB3"/>
    <w:pPr>
      <w:keepNext/>
      <w:keepLines/>
      <w:spacing w:before="120" w:after="120"/>
      <w:jc w:val="center"/>
    </w:pPr>
    <w:rPr>
      <w:b/>
    </w:rPr>
  </w:style>
  <w:style w:type="paragraph" w:customStyle="1" w:styleId="TableText">
    <w:name w:val="TableText"/>
    <w:aliases w:val="TT"/>
    <w:basedOn w:val="Normal"/>
    <w:rsid w:val="00F9164C"/>
    <w:pPr>
      <w:spacing w:before="60" w:after="60"/>
    </w:pPr>
  </w:style>
  <w:style w:type="paragraph" w:styleId="TOC1">
    <w:name w:val="toc 1"/>
    <w:basedOn w:val="Normal"/>
    <w:next w:val="Normal"/>
    <w:semiHidden/>
    <w:rsid w:val="00BA0FB3"/>
    <w:pPr>
      <w:tabs>
        <w:tab w:val="left" w:pos="720"/>
        <w:tab w:val="right" w:leader="dot" w:pos="9360"/>
      </w:tabs>
    </w:pPr>
  </w:style>
  <w:style w:type="paragraph" w:styleId="TOC2">
    <w:name w:val="toc 2"/>
    <w:basedOn w:val="Normal"/>
    <w:next w:val="Normal"/>
    <w:semiHidden/>
    <w:rsid w:val="00BA0FB3"/>
    <w:pPr>
      <w:tabs>
        <w:tab w:val="left" w:pos="1440"/>
        <w:tab w:val="right" w:leader="dot" w:pos="9360"/>
      </w:tabs>
      <w:ind w:left="720"/>
    </w:pPr>
  </w:style>
  <w:style w:type="character" w:customStyle="1" w:styleId="Bold">
    <w:name w:val="Bold"/>
    <w:rsid w:val="00315ED7"/>
    <w:rPr>
      <w:b/>
    </w:rPr>
  </w:style>
  <w:style w:type="character" w:customStyle="1" w:styleId="Underline">
    <w:name w:val="Underline"/>
    <w:rsid w:val="00315ED7"/>
    <w:rPr>
      <w:u w:val="single"/>
    </w:rPr>
  </w:style>
  <w:style w:type="character" w:customStyle="1" w:styleId="Italic">
    <w:name w:val="Italic"/>
    <w:rsid w:val="00315ED7"/>
    <w:rPr>
      <w:i/>
    </w:rPr>
  </w:style>
  <w:style w:type="character" w:customStyle="1" w:styleId="BoldItalic">
    <w:name w:val="BoldItalic"/>
    <w:rsid w:val="00315ED7"/>
    <w:rPr>
      <w:b/>
      <w:i/>
    </w:rPr>
  </w:style>
  <w:style w:type="paragraph" w:customStyle="1" w:styleId="TableHeadingLeft">
    <w:name w:val="TableHeadingLeft"/>
    <w:aliases w:val="THL"/>
    <w:basedOn w:val="TableHeading"/>
    <w:rsid w:val="00F9164C"/>
    <w:pPr>
      <w:jc w:val="left"/>
    </w:pPr>
  </w:style>
  <w:style w:type="paragraph" w:customStyle="1" w:styleId="TableHeadingRight">
    <w:name w:val="TableHeadingRight"/>
    <w:aliases w:val="THR"/>
    <w:basedOn w:val="TableHeading"/>
    <w:rsid w:val="00F9164C"/>
    <w:pPr>
      <w:jc w:val="right"/>
    </w:pPr>
  </w:style>
  <w:style w:type="paragraph" w:customStyle="1" w:styleId="TableTextCenter">
    <w:name w:val="TableTextCenter"/>
    <w:aliases w:val="TTC"/>
    <w:basedOn w:val="TableText"/>
    <w:rsid w:val="00F9164C"/>
    <w:pPr>
      <w:jc w:val="center"/>
    </w:pPr>
  </w:style>
  <w:style w:type="paragraph" w:customStyle="1" w:styleId="TableTextRight">
    <w:name w:val="TableTextRight"/>
    <w:aliases w:val="TTR"/>
    <w:basedOn w:val="TableText"/>
    <w:rsid w:val="00F9164C"/>
    <w:pPr>
      <w:jc w:val="right"/>
    </w:pPr>
  </w:style>
  <w:style w:type="paragraph" w:customStyle="1" w:styleId="DocsID">
    <w:name w:val="DocsID"/>
    <w:basedOn w:val="NormalSingle"/>
    <w:rsid w:val="003438D0"/>
    <w:pPr>
      <w:spacing w:before="20" w:after="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Blank</vt:lpstr>
    </vt:vector>
  </TitlesOfParts>
  <Manager/>
  <Company>Turing Babbage &amp; Hal</Company>
  <LinksUpToDate>false</LinksUpToDate>
  <CharactersWithSpaces>8334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_</dc:creator>
  <cp:keywords/>
  <dc:description>v1.11</dc:description>
  <cp:lastModifiedBy>_</cp:lastModifiedBy>
  <cp:revision>3</cp:revision>
  <dcterms:created xsi:type="dcterms:W3CDTF">2016-05-16T16:47:00Z</dcterms:created>
  <dcterms:modified xsi:type="dcterms:W3CDTF">2016-05-16T16:47:00Z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
  </property>
</Properties>
</file>